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eastAsia="Century Gothic" w:cs="Century Gothic" w:asciiTheme="majorAscii" w:hAnsiTheme="majorAscii"/>
          <w:b/>
          <w:sz w:val="66"/>
          <w:szCs w:val="66"/>
        </w:rPr>
      </w:pPr>
      <w:r>
        <w:rPr>
          <w:rFonts w:hint="default" w:eastAsia="Century Gothic" w:cs="Century Gothic" w:asciiTheme="majorAscii" w:hAnsiTheme="majorAscii"/>
          <w:b/>
          <w:sz w:val="66"/>
          <w:szCs w:val="66"/>
          <w:rtl w:val="0"/>
        </w:rPr>
        <w:t>Broadcast Engineering Consultants India Limited (BECIL)</w:t>
      </w:r>
    </w:p>
    <w:p>
      <w:pPr>
        <w:spacing w:line="276" w:lineRule="auto"/>
        <w:jc w:val="right"/>
        <w:rPr>
          <w:rFonts w:hint="default" w:eastAsia="Century Gothic" w:cs="Century Gothic" w:asciiTheme="majorAscii" w:hAnsiTheme="majorAscii"/>
          <w:b/>
          <w:sz w:val="48"/>
          <w:szCs w:val="48"/>
        </w:rPr>
      </w:pPr>
      <w:r>
        <w:rPr>
          <w:rFonts w:hint="default" w:eastAsia="Century Gothic" w:cs="Century Gothic" w:asciiTheme="majorAscii" w:hAnsiTheme="majorAscii"/>
          <w:b/>
          <w:sz w:val="48"/>
          <w:szCs w:val="48"/>
          <w:rtl w:val="0"/>
        </w:rPr>
        <w:t>BIHAR SKILL DEVELOPMENT MISSION – 2020-21</w:t>
      </w:r>
    </w:p>
    <w:p>
      <w:pPr>
        <w:spacing w:line="276" w:lineRule="auto"/>
        <w:jc w:val="right"/>
        <w:rPr>
          <w:rFonts w:hint="default" w:eastAsia="Century Gothic" w:cs="Century Gothic" w:asciiTheme="majorAscii" w:hAnsiTheme="majorAscii"/>
          <w:b/>
          <w:sz w:val="48"/>
          <w:szCs w:val="48"/>
        </w:rPr>
      </w:pPr>
      <w:r>
        <w:rPr>
          <w:rFonts w:hint="default" w:eastAsia="Century Gothic" w:cs="Century Gothic" w:asciiTheme="majorAscii" w:hAnsiTheme="majorAscii"/>
          <w:b/>
          <w:sz w:val="48"/>
          <w:szCs w:val="48"/>
          <w:rtl w:val="0"/>
        </w:rPr>
        <w:t>2021-22</w:t>
      </w:r>
    </w:p>
    <w:p>
      <w:pPr>
        <w:spacing w:line="276" w:lineRule="auto"/>
        <w:jc w:val="right"/>
        <w:rPr>
          <w:rFonts w:hint="default" w:eastAsia="Century Gothic" w:cs="Century Gothic" w:asciiTheme="majorAscii" w:hAnsiTheme="majorAscii"/>
          <w:b/>
          <w:sz w:val="48"/>
          <w:szCs w:val="48"/>
        </w:rPr>
      </w:pPr>
      <w:r>
        <w:rPr>
          <w:rFonts w:hint="default" w:eastAsia="Century Gothic" w:cs="Century Gothic" w:asciiTheme="majorAscii" w:hAnsiTheme="majorAscii"/>
          <w:b/>
          <w:sz w:val="48"/>
          <w:szCs w:val="48"/>
          <w:rtl w:val="0"/>
        </w:rPr>
        <w:t>2022-23</w:t>
      </w:r>
    </w:p>
    <w:p>
      <w:pPr>
        <w:spacing w:line="276" w:lineRule="auto"/>
        <w:jc w:val="right"/>
        <w:rPr>
          <w:rFonts w:hint="default" w:eastAsia="Century Gothic" w:cs="Century Gothic" w:asciiTheme="majorAscii" w:hAnsiTheme="majorAscii"/>
          <w:b/>
          <w:sz w:val="48"/>
          <w:szCs w:val="48"/>
        </w:rPr>
      </w:pPr>
      <w:r>
        <w:rPr>
          <w:rFonts w:hint="default" w:eastAsia="Century Gothic" w:cs="Century Gothic" w:asciiTheme="majorAscii" w:hAnsiTheme="majorAscii"/>
          <w:b/>
          <w:sz w:val="48"/>
          <w:szCs w:val="48"/>
          <w:rtl w:val="0"/>
        </w:rPr>
        <w:t xml:space="preserve">55 - DAYS PROGRAM </w:t>
      </w:r>
    </w:p>
    <w:p>
      <w:pPr>
        <w:spacing w:line="276" w:lineRule="auto"/>
        <w:jc w:val="right"/>
        <w:rPr>
          <w:rFonts w:hint="default" w:eastAsia="Century Gothic" w:cs="Century Gothic" w:asciiTheme="majorAscii" w:hAnsiTheme="majorAscii"/>
          <w:sz w:val="24"/>
          <w:szCs w:val="24"/>
        </w:rPr>
      </w:pPr>
    </w:p>
    <w:p>
      <w:pPr>
        <w:spacing w:line="276" w:lineRule="auto"/>
        <w:jc w:val="right"/>
        <w:rPr>
          <w:rFonts w:hint="default" w:eastAsia="Century Gothic" w:cs="Century Gothic" w:asciiTheme="majorAscii" w:hAnsiTheme="majorAscii"/>
          <w:sz w:val="48"/>
          <w:szCs w:val="48"/>
        </w:rPr>
      </w:pPr>
      <w:r>
        <w:rPr>
          <w:rFonts w:hint="default" w:eastAsia="Century Gothic" w:cs="Century Gothic" w:asciiTheme="majorAscii" w:hAnsiTheme="majorAscii"/>
          <w:sz w:val="24"/>
          <w:szCs w:val="24"/>
          <w:rtl w:val="0"/>
        </w:rPr>
        <w:t xml:space="preserve">It’s Objective, learning outcomes, Modules, assessments and material list </w:t>
      </w:r>
    </w:p>
    <w:p>
      <w:pPr>
        <w:spacing w:line="276" w:lineRule="auto"/>
        <w:jc w:val="center"/>
        <w:rPr>
          <w:rFonts w:hint="default" w:eastAsia="Century Gothic" w:cs="Century Gothic" w:asciiTheme="majorAscii" w:hAnsiTheme="majorAscii"/>
          <w:b/>
          <w:sz w:val="28"/>
          <w:szCs w:val="28"/>
          <w:u w:val="single"/>
        </w:rPr>
      </w:pPr>
    </w:p>
    <w:p>
      <w:pPr>
        <w:spacing w:line="276" w:lineRule="auto"/>
        <w:jc w:val="center"/>
        <w:rPr>
          <w:rFonts w:hint="default" w:eastAsia="Century Gothic" w:cs="Century Gothic" w:asciiTheme="majorAscii" w:hAnsiTheme="majorAscii"/>
          <w:b/>
          <w:sz w:val="28"/>
          <w:szCs w:val="28"/>
          <w:u w:val="single"/>
        </w:rPr>
      </w:pPr>
    </w:p>
    <w:p>
      <w:pPr>
        <w:spacing w:line="276" w:lineRule="auto"/>
        <w:jc w:val="center"/>
        <w:rPr>
          <w:rFonts w:hint="default" w:eastAsia="Century Gothic" w:cs="Century Gothic" w:asciiTheme="majorAscii" w:hAnsiTheme="majorAscii"/>
          <w:b/>
          <w:sz w:val="28"/>
          <w:szCs w:val="28"/>
          <w:u w:val="single"/>
        </w:rPr>
      </w:pPr>
      <w:r>
        <w:rPr>
          <w:rFonts w:hint="default" w:eastAsia="Century Gothic" w:cs="Century Gothic" w:asciiTheme="majorAscii" w:hAnsiTheme="majorAscii"/>
          <w:b/>
          <w:sz w:val="28"/>
          <w:szCs w:val="28"/>
          <w:u w:val="single"/>
          <w:rtl w:val="0"/>
        </w:rPr>
        <w:t xml:space="preserve">CERTIFICATE PROGRAM IN CRM DOMESTIC NON VOICE </w:t>
      </w:r>
    </w:p>
    <w:tbl>
      <w:tblPr>
        <w:tblStyle w:val="16"/>
        <w:tblpPr w:leftFromText="180" w:rightFromText="180" w:vertAnchor="text" w:horzAnchor="page" w:tblpX="819" w:tblpY="241"/>
        <w:tblOverlap w:val="never"/>
        <w:tblW w:w="10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  <w:gridCol w:w="5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restart"/>
          </w:tcPr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sz w:val="26"/>
                <w:szCs w:val="26"/>
              </w:rPr>
            </w:pPr>
          </w:p>
          <w:p>
            <w:pPr>
              <w:tabs>
                <w:tab w:val="left" w:pos="9320"/>
              </w:tabs>
              <w:spacing w:after="0" w:line="240" w:lineRule="auto"/>
              <w:rPr>
                <w:rFonts w:hint="default" w:eastAsia="Century Gothic" w:cs="Century Gothic" w:asciiTheme="majorAscii" w:hAnsiTheme="majorAscii"/>
                <w:sz w:val="26"/>
                <w:szCs w:val="26"/>
              </w:rPr>
            </w:pPr>
          </w:p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b/>
                <w:sz w:val="26"/>
                <w:szCs w:val="26"/>
              </w:rPr>
            </w:pPr>
            <w:r>
              <w:rPr>
                <w:rFonts w:hint="default" w:eastAsia="Century Gothic" w:cs="Century Gothic" w:asciiTheme="majorAscii" w:hAnsiTheme="majorAscii"/>
                <w:sz w:val="26"/>
                <w:szCs w:val="26"/>
                <w:rtl w:val="0"/>
              </w:rPr>
              <w:t xml:space="preserve">Submitted to  </w:t>
            </w:r>
            <w:r>
              <w:rPr>
                <w:rFonts w:hint="default" w:eastAsia="Century Gothic" w:cs="Century Gothic" w:asciiTheme="majorAscii" w:hAnsiTheme="majorAscii"/>
                <w:b/>
                <w:sz w:val="26"/>
                <w:szCs w:val="26"/>
                <w:rtl w:val="0"/>
              </w:rPr>
              <w:t xml:space="preserve">:-  </w:t>
            </w:r>
          </w:p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b/>
                <w:sz w:val="26"/>
                <w:szCs w:val="26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6"/>
                <w:szCs w:val="26"/>
                <w:rtl w:val="0"/>
              </w:rPr>
              <w:t xml:space="preserve">Bihar Skill Development Mission,Labour Resources Department, GoB </w:t>
            </w:r>
          </w:p>
        </w:tc>
        <w:tc>
          <w:p>
            <w:pPr>
              <w:tabs>
                <w:tab w:val="left" w:pos="9320"/>
              </w:tabs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b/>
                <w:sz w:val="26"/>
                <w:szCs w:val="26"/>
              </w:rPr>
            </w:pPr>
            <w:r>
              <w:rPr>
                <w:rFonts w:hint="default" w:eastAsia="Century Gothic" w:cs="Century Gothic" w:asciiTheme="majorAscii" w:hAnsiTheme="majorAscii"/>
                <w:sz w:val="26"/>
                <w:szCs w:val="26"/>
                <w:rtl w:val="0"/>
              </w:rPr>
              <w:t xml:space="preserve">Submitted By </w:t>
            </w:r>
            <w:r>
              <w:rPr>
                <w:rFonts w:hint="default" w:eastAsia="Century Gothic" w:cs="Century Gothic" w:asciiTheme="majorAscii" w:hAnsiTheme="majorAscii"/>
                <w:b/>
                <w:sz w:val="26"/>
                <w:szCs w:val="26"/>
                <w:rtl w:val="0"/>
              </w:rPr>
              <w:t>:-                                                                                        Broadcast Engineering Consultants India Limited (BECIL)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Merge w:val="continue"/>
          </w:tcPr>
          <w:p>
            <w:pPr>
              <w:widowControl w:val="0"/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6"/>
                <w:szCs w:val="26"/>
              </w:rPr>
            </w:pPr>
          </w:p>
        </w:tc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6"/>
                <w:szCs w:val="26"/>
              </w:rPr>
            </w:pPr>
          </w:p>
          <w:p>
            <w:pPr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sz w:val="26"/>
                <w:szCs w:val="26"/>
              </w:rPr>
            </w:pPr>
            <w:r>
              <w:rPr>
                <w:rFonts w:hint="default" w:eastAsia="Century Gothic" w:cs="Century Gothic" w:asciiTheme="majorAscii" w:hAnsiTheme="majorAscii"/>
                <w:sz w:val="26"/>
                <w:szCs w:val="26"/>
                <w:rtl w:val="0"/>
              </w:rPr>
              <w:t>Session – 2020-21</w:t>
            </w:r>
          </w:p>
          <w:p>
            <w:pPr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sz w:val="26"/>
                <w:szCs w:val="26"/>
              </w:rPr>
            </w:pPr>
            <w:r>
              <w:rPr>
                <w:rFonts w:hint="default" w:eastAsia="Century Gothic" w:cs="Century Gothic" w:asciiTheme="majorAscii" w:hAnsiTheme="majorAscii"/>
                <w:sz w:val="26"/>
                <w:szCs w:val="26"/>
                <w:rtl w:val="0"/>
              </w:rPr>
              <w:t xml:space="preserve">                2021-22</w:t>
            </w:r>
            <w:r>
              <w:rPr>
                <w:rFonts w:hint="default" w:eastAsia="Century Gothic" w:cs="Century Gothic" w:asciiTheme="majorAscii" w:hAnsiTheme="majorAscii"/>
                <w:sz w:val="26"/>
                <w:szCs w:val="26"/>
                <w:rtl w:val="0"/>
              </w:rPr>
              <w:br w:type="textWrapping"/>
            </w:r>
            <w:r>
              <w:rPr>
                <w:rFonts w:hint="default" w:eastAsia="Century Gothic" w:cs="Century Gothic" w:asciiTheme="majorAscii" w:hAnsiTheme="majorAscii"/>
                <w:sz w:val="26"/>
                <w:szCs w:val="26"/>
                <w:rtl w:val="0"/>
              </w:rPr>
              <w:t xml:space="preserve">                2022-23       </w:t>
            </w:r>
          </w:p>
        </w:tc>
      </w:tr>
    </w:tbl>
    <w:p>
      <w:pPr>
        <w:tabs>
          <w:tab w:val="left" w:pos="9320"/>
        </w:tabs>
        <w:spacing w:line="276" w:lineRule="auto"/>
        <w:jc w:val="center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  <w:rtl w:val="0"/>
        </w:rPr>
        <w:t xml:space="preserve">                               </w:t>
      </w: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  <w:r>
        <w:rPr>
          <w:rFonts w:hint="default" w:eastAsia="Century Gothic" w:cs="Century Gothic" w:asciiTheme="majorAscii" w:hAnsiTheme="majorAscii"/>
          <w:sz w:val="28"/>
          <w:szCs w:val="28"/>
          <w:rtl w:val="0"/>
        </w:rPr>
        <w:t xml:space="preserve">                 </w:t>
      </w: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</w:p>
    <w:p>
      <w:pPr>
        <w:spacing w:before="280" w:after="280" w:line="276" w:lineRule="auto"/>
        <w:rPr>
          <w:rFonts w:hint="default" w:eastAsia="Cambria" w:cs="Cambria" w:asciiTheme="majorAscii" w:hAnsiTheme="majorAscii"/>
          <w:b/>
          <w:sz w:val="24"/>
          <w:szCs w:val="24"/>
        </w:rPr>
      </w:pPr>
      <w:r>
        <w:rPr>
          <w:rFonts w:hint="default" w:eastAsia="Century Gothic" w:cs="Century Gothic" w:asciiTheme="majorAscii" w:hAnsiTheme="majorAscii"/>
          <w:sz w:val="28"/>
          <w:szCs w:val="28"/>
          <w:rtl w:val="0"/>
        </w:rPr>
        <w:t xml:space="preserve">      Course name: </w:t>
      </w:r>
      <w:r>
        <w:rPr>
          <w:rFonts w:hint="default" w:eastAsia="Cambria" w:cs="Cambria" w:asciiTheme="majorAscii" w:hAnsiTheme="majorAscii"/>
          <w:b/>
          <w:sz w:val="24"/>
          <w:szCs w:val="24"/>
          <w:rtl w:val="0"/>
        </w:rPr>
        <w:t>Certificate Course in CRM Domestic Non Voice</w:t>
      </w:r>
    </w:p>
    <w:p>
      <w:pPr>
        <w:numPr>
          <w:ilvl w:val="0"/>
          <w:numId w:val="1"/>
        </w:numPr>
        <w:spacing w:before="280" w:line="240" w:lineRule="auto"/>
        <w:ind w:left="720" w:hanging="360"/>
        <w:rPr>
          <w:rFonts w:hint="default" w:eastAsia="Cambria" w:cs="Cambria" w:asciiTheme="majorAscii" w:hAnsiTheme="majorAscii"/>
          <w:sz w:val="24"/>
          <w:szCs w:val="24"/>
        </w:rPr>
      </w:pPr>
      <w:r>
        <w:rPr>
          <w:rFonts w:hint="default" w:eastAsia="Cambria" w:cs="Cambria" w:asciiTheme="majorAscii" w:hAnsiTheme="majorAscii"/>
          <w:sz w:val="24"/>
          <w:szCs w:val="24"/>
          <w:rtl w:val="0"/>
        </w:rPr>
        <w:t>Course Id- SSC/Q2211</w:t>
      </w:r>
    </w:p>
    <w:p>
      <w:pPr>
        <w:numPr>
          <w:ilvl w:val="0"/>
          <w:numId w:val="1"/>
        </w:numPr>
        <w:spacing w:line="240" w:lineRule="auto"/>
        <w:ind w:left="720" w:hanging="360"/>
        <w:rPr>
          <w:rFonts w:hint="default" w:eastAsia="Cambria" w:cs="Cambria" w:asciiTheme="majorAscii" w:hAnsiTheme="majorAscii"/>
          <w:sz w:val="24"/>
          <w:szCs w:val="24"/>
        </w:rPr>
      </w:pPr>
      <w:r>
        <w:rPr>
          <w:rFonts w:hint="default" w:eastAsia="Cambria" w:cs="Cambria" w:asciiTheme="majorAscii" w:hAnsiTheme="majorAscii"/>
          <w:sz w:val="24"/>
          <w:szCs w:val="24"/>
          <w:rtl w:val="0"/>
        </w:rPr>
        <w:t xml:space="preserve">Candidate Eligibility : </w:t>
      </w:r>
      <w:r>
        <w:rPr>
          <w:rFonts w:hint="default" w:eastAsia="Cambria" w:cs="Cambria" w:asciiTheme="majorAscii" w:hAnsiTheme="majorAscii"/>
          <w:b/>
          <w:sz w:val="24"/>
          <w:szCs w:val="24"/>
          <w:rtl w:val="0"/>
        </w:rPr>
        <w:t>10</w:t>
      </w:r>
      <w:r>
        <w:rPr>
          <w:rFonts w:hint="default" w:eastAsia="Cambria" w:cs="Cambria" w:asciiTheme="majorAscii" w:hAnsiTheme="majorAscii"/>
          <w:b/>
          <w:sz w:val="24"/>
          <w:szCs w:val="24"/>
          <w:vertAlign w:val="superscript"/>
          <w:rtl w:val="0"/>
        </w:rPr>
        <w:t>TH</w:t>
      </w:r>
      <w:r>
        <w:rPr>
          <w:rFonts w:hint="default" w:eastAsia="Cambria" w:cs="Cambria" w:asciiTheme="majorAscii" w:hAnsiTheme="majorAscii"/>
          <w:b/>
          <w:sz w:val="24"/>
          <w:szCs w:val="24"/>
          <w:rtl w:val="0"/>
        </w:rPr>
        <w:t xml:space="preserve"> Standard Pass</w:t>
      </w:r>
    </w:p>
    <w:p>
      <w:pPr>
        <w:numPr>
          <w:ilvl w:val="0"/>
          <w:numId w:val="1"/>
        </w:numPr>
        <w:spacing w:after="280" w:line="240" w:lineRule="auto"/>
        <w:ind w:left="720" w:hanging="360"/>
        <w:rPr>
          <w:rFonts w:hint="default" w:eastAsia="Cambria" w:cs="Cambria" w:asciiTheme="majorAscii" w:hAnsiTheme="majorAscii"/>
          <w:sz w:val="24"/>
          <w:szCs w:val="24"/>
        </w:rPr>
      </w:pPr>
      <w:r>
        <w:rPr>
          <w:rFonts w:hint="default" w:eastAsia="Cambria" w:cs="Cambria" w:asciiTheme="majorAscii" w:hAnsiTheme="majorAscii"/>
          <w:sz w:val="24"/>
          <w:szCs w:val="24"/>
          <w:rtl w:val="0"/>
        </w:rPr>
        <w:t xml:space="preserve">Course Duration: 55 days  </w:t>
      </w:r>
    </w:p>
    <w:p>
      <w:pPr>
        <w:spacing w:before="63" w:after="200" w:line="320" w:lineRule="auto"/>
        <w:ind w:right="2170"/>
        <w:rPr>
          <w:rFonts w:hint="default" w:eastAsia="Cambria" w:cs="Cambria" w:asciiTheme="majorAscii" w:hAnsiTheme="majorAscii"/>
        </w:rPr>
      </w:pPr>
      <w:r>
        <w:rPr>
          <w:rFonts w:hint="default" w:eastAsia="Cambria" w:cs="Cambria" w:asciiTheme="majorAscii" w:hAnsiTheme="majorAscii"/>
          <w:b/>
          <w:color w:val="008000"/>
          <w:rtl w:val="0"/>
        </w:rPr>
        <w:t>CONTACT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DETAILS OF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THE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BODY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SUBMITTING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 xml:space="preserve">THE QUALIFICATION FILE </w:t>
      </w:r>
    </w:p>
    <w:p>
      <w:pPr>
        <w:spacing w:after="200" w:line="568" w:lineRule="auto"/>
        <w:ind w:right="853"/>
        <w:rPr>
          <w:rFonts w:hint="default" w:eastAsia="Mangal" w:cs="Mangal" w:asciiTheme="majorAscii" w:hAnsiTheme="majorAscii"/>
          <w:b/>
          <w:color w:val="008000"/>
        </w:rPr>
      </w:pPr>
      <w:r>
        <w:rPr>
          <w:rFonts w:hint="default" w:eastAsia="Cambria" w:cs="Cambria" w:asciiTheme="majorAscii" w:hAnsiTheme="majorAscii"/>
          <w:b/>
          <w:color w:val="008000"/>
          <w:rtl w:val="0"/>
        </w:rPr>
        <w:t>Name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and address of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submitting body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>:</w:t>
      </w:r>
    </w:p>
    <w:p>
      <w:pPr>
        <w:spacing w:after="200" w:line="480" w:lineRule="auto"/>
        <w:rPr>
          <w:rFonts w:hint="default" w:eastAsia="Cambria" w:cs="Cambria" w:asciiTheme="majorAscii" w:hAnsiTheme="majorAscii"/>
          <w:b/>
        </w:rPr>
      </w:pPr>
      <w:r>
        <w:rPr>
          <w:rFonts w:hint="default" w:eastAsia="Cambria" w:cs="Cambria" w:asciiTheme="majorAscii" w:hAnsiTheme="majorAscii"/>
          <w:b/>
          <w:rtl w:val="0"/>
        </w:rPr>
        <w:t>Broadcast Engineering Consultants India Limited (BECIL)</w:t>
      </w:r>
    </w:p>
    <w:p>
      <w:pPr>
        <w:spacing w:after="200" w:line="276" w:lineRule="auto"/>
        <w:rPr>
          <w:rFonts w:hint="default" w:eastAsia="Cambria" w:cs="Cambria" w:asciiTheme="majorAscii" w:hAnsiTheme="majorAscii"/>
          <w:b/>
          <w:color w:val="008000"/>
        </w:rPr>
      </w:pPr>
      <w:r>
        <w:rPr>
          <w:rFonts w:hint="default" w:eastAsia="Cambria" w:cs="Cambria" w:asciiTheme="majorAscii" w:hAnsiTheme="majorAscii"/>
          <w:b/>
          <w:color w:val="008000"/>
          <w:rtl w:val="0"/>
        </w:rPr>
        <w:t>Name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and contact details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of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individual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dealing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with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the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submission</w:t>
      </w:r>
    </w:p>
    <w:p>
      <w:pPr>
        <w:spacing w:before="47" w:after="200" w:line="276" w:lineRule="auto"/>
        <w:rPr>
          <w:rFonts w:hint="default" w:eastAsia="Cambria" w:cs="Cambria" w:asciiTheme="majorAscii" w:hAnsiTheme="majorAscii"/>
        </w:rPr>
      </w:pPr>
      <w:r>
        <w:rPr>
          <w:rFonts w:hint="default" w:eastAsia="Cambria" w:cs="Cambria" w:asciiTheme="majorAscii" w:hAnsiTheme="majorAscii"/>
          <w:b/>
          <w:rtl w:val="0"/>
        </w:rPr>
        <w:t>Name</w:t>
      </w:r>
      <w:r>
        <w:rPr>
          <w:rFonts w:hint="default" w:eastAsia="Cambria" w:cs="Cambria" w:asciiTheme="majorAscii" w:hAnsiTheme="majorAscii"/>
          <w:b/>
          <w:rtl w:val="0"/>
        </w:rPr>
        <w:tab/>
      </w:r>
      <w:r>
        <w:rPr>
          <w:rFonts w:hint="default" w:eastAsia="Cambria" w:cs="Cambria" w:asciiTheme="majorAscii" w:hAnsiTheme="majorAscii"/>
          <w:b/>
          <w:rtl w:val="0"/>
        </w:rPr>
        <w:tab/>
      </w:r>
      <w:r>
        <w:rPr>
          <w:rFonts w:hint="default" w:eastAsia="Cambria" w:cs="Cambria" w:asciiTheme="majorAscii" w:hAnsiTheme="majorAscii"/>
          <w:b/>
          <w:rtl w:val="0"/>
        </w:rPr>
        <w:tab/>
      </w:r>
      <w:r>
        <w:rPr>
          <w:rFonts w:hint="default" w:eastAsia="Cambria" w:cs="Cambria" w:asciiTheme="majorAscii" w:hAnsiTheme="majorAscii"/>
          <w:b/>
          <w:rtl w:val="0"/>
        </w:rPr>
        <w:tab/>
      </w:r>
      <w:r>
        <w:rPr>
          <w:rFonts w:hint="default" w:eastAsia="Cambria" w:cs="Cambria" w:asciiTheme="majorAscii" w:hAnsiTheme="majorAscii"/>
          <w:b/>
          <w:rtl w:val="0"/>
        </w:rPr>
        <w:tab/>
      </w:r>
      <w:r>
        <w:rPr>
          <w:rFonts w:hint="default" w:eastAsia="Calibri" w:cs="Calibri" w:asciiTheme="majorAscii" w:hAnsiTheme="majorAscii"/>
          <w:b/>
          <w:rtl w:val="0"/>
        </w:rPr>
        <w:t>:</w:t>
      </w:r>
      <w:r>
        <w:rPr>
          <w:rFonts w:hint="default" w:eastAsia="Mangal" w:cs="Mangal" w:asciiTheme="majorAscii" w:hAnsiTheme="majorAscii"/>
          <w:b/>
          <w:rtl w:val="0"/>
        </w:rPr>
        <w:t xml:space="preserve"> </w:t>
      </w:r>
      <w:r>
        <w:rPr>
          <w:rFonts w:hint="default" w:eastAsia="Cambria Math" w:cs="Cambria Math" w:asciiTheme="majorAscii" w:hAnsiTheme="majorAscii"/>
          <w:rtl w:val="0"/>
        </w:rPr>
        <w:t>Mr. Deepak Sharma</w:t>
      </w:r>
    </w:p>
    <w:p>
      <w:pPr>
        <w:spacing w:line="240" w:lineRule="auto"/>
        <w:rPr>
          <w:rFonts w:hint="default" w:eastAsia="Cambria" w:cs="Cambria" w:asciiTheme="majorAscii" w:hAnsiTheme="majorAscii"/>
        </w:rPr>
      </w:pPr>
      <w:r>
        <w:rPr>
          <w:rFonts w:hint="default" w:eastAsia="Cambria" w:cs="Cambria" w:asciiTheme="majorAscii" w:hAnsiTheme="majorAscii"/>
          <w:b/>
          <w:rtl w:val="0"/>
        </w:rPr>
        <w:t>Position</w:t>
      </w:r>
      <w:r>
        <w:rPr>
          <w:rFonts w:hint="default" w:eastAsia="Times New Roman" w:cs="Times New Roman" w:asciiTheme="majorAscii" w:hAnsiTheme="majorAscii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rtl w:val="0"/>
        </w:rPr>
        <w:t>in</w:t>
      </w:r>
      <w:r>
        <w:rPr>
          <w:rFonts w:hint="default" w:eastAsia="Times New Roman" w:cs="Times New Roman" w:asciiTheme="majorAscii" w:hAnsiTheme="majorAscii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rtl w:val="0"/>
        </w:rPr>
        <w:t>the</w:t>
      </w:r>
      <w:r>
        <w:rPr>
          <w:rFonts w:hint="default" w:eastAsia="Times New Roman" w:cs="Times New Roman" w:asciiTheme="majorAscii" w:hAnsiTheme="majorAscii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rtl w:val="0"/>
        </w:rPr>
        <w:t>organization</w:t>
      </w:r>
      <w:r>
        <w:rPr>
          <w:rFonts w:hint="default" w:eastAsia="Times New Roman" w:cs="Times New Roman" w:asciiTheme="majorAscii" w:hAnsiTheme="majorAscii"/>
          <w:rtl w:val="0"/>
        </w:rPr>
        <w:tab/>
      </w:r>
      <w:r>
        <w:rPr>
          <w:rFonts w:hint="default" w:eastAsia="Times New Roman" w:cs="Times New Roman" w:asciiTheme="majorAscii" w:hAnsiTheme="majorAscii"/>
          <w:rtl w:val="0"/>
        </w:rPr>
        <w:tab/>
      </w:r>
      <w:r>
        <w:rPr>
          <w:rFonts w:hint="default" w:eastAsia="Times New Roman" w:cs="Times New Roman" w:asciiTheme="majorAscii" w:hAnsiTheme="majorAscii"/>
          <w:rtl w:val="0"/>
        </w:rPr>
        <w:t xml:space="preserve">: </w:t>
      </w:r>
      <w:r>
        <w:rPr>
          <w:rFonts w:hint="default" w:eastAsia="Cambria" w:cs="Cambria" w:asciiTheme="majorAscii" w:hAnsiTheme="majorAscii"/>
          <w:rtl w:val="0"/>
        </w:rPr>
        <w:t>Head Government Business</w:t>
      </w:r>
    </w:p>
    <w:p>
      <w:pPr>
        <w:spacing w:line="240" w:lineRule="auto"/>
        <w:rPr>
          <w:rFonts w:hint="default" w:eastAsia="Times New Roman" w:cs="Times New Roman" w:asciiTheme="majorAscii" w:hAnsiTheme="majorAscii"/>
        </w:rPr>
      </w:pPr>
      <w:r>
        <w:rPr>
          <w:rFonts w:hint="default" w:eastAsia="Times New Roman" w:cs="Times New Roman" w:asciiTheme="majorAscii" w:hAnsiTheme="majorAscii"/>
          <w:rtl w:val="0"/>
        </w:rPr>
        <w:t xml:space="preserve">                                                              </w:t>
      </w:r>
    </w:p>
    <w:p>
      <w:pPr>
        <w:spacing w:after="200" w:line="276" w:lineRule="auto"/>
        <w:ind w:right="1237"/>
        <w:rPr>
          <w:rFonts w:hint="default" w:eastAsia="Cambria Math" w:cs="Cambria Math" w:asciiTheme="majorAscii" w:hAnsiTheme="majorAscii"/>
        </w:rPr>
      </w:pPr>
      <w:r>
        <w:rPr>
          <w:rFonts w:hint="default" w:eastAsia="Cambria" w:cs="Cambria" w:asciiTheme="majorAscii" w:hAnsiTheme="majorAscii"/>
          <w:b/>
          <w:rtl w:val="0"/>
        </w:rPr>
        <w:t>Tel</w:t>
      </w:r>
      <w:r>
        <w:rPr>
          <w:rFonts w:hint="default" w:eastAsia="Calibri" w:cs="Calibri" w:asciiTheme="majorAscii" w:hAnsiTheme="majorAscii"/>
          <w:b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rtl w:val="0"/>
        </w:rPr>
        <w:t>number</w:t>
      </w:r>
      <w:r>
        <w:rPr>
          <w:rFonts w:hint="default" w:eastAsia="Calibri" w:cs="Calibri" w:asciiTheme="majorAscii" w:hAnsiTheme="majorAscii"/>
          <w:b/>
          <w:rtl w:val="0"/>
        </w:rPr>
        <w:t>(</w:t>
      </w:r>
      <w:r>
        <w:rPr>
          <w:rFonts w:hint="default" w:eastAsia="Cambria" w:cs="Cambria" w:asciiTheme="majorAscii" w:hAnsiTheme="majorAscii"/>
          <w:b/>
          <w:rtl w:val="0"/>
        </w:rPr>
        <w:t>s</w:t>
      </w:r>
      <w:r>
        <w:rPr>
          <w:rFonts w:hint="default" w:eastAsia="Calibri" w:cs="Calibri" w:asciiTheme="majorAscii" w:hAnsiTheme="majorAscii"/>
          <w:b/>
          <w:rtl w:val="0"/>
        </w:rPr>
        <w:t>)</w:t>
      </w:r>
      <w:r>
        <w:rPr>
          <w:rFonts w:hint="default" w:eastAsia="Mangal" w:cs="Mangal" w:asciiTheme="majorAscii" w:hAnsiTheme="majorAscii"/>
          <w:b/>
          <w:rtl w:val="0"/>
        </w:rPr>
        <w:tab/>
      </w:r>
      <w:r>
        <w:rPr>
          <w:rFonts w:hint="default" w:eastAsia="Mangal" w:cs="Mangal" w:asciiTheme="majorAscii" w:hAnsiTheme="majorAscii"/>
          <w:b/>
          <w:rtl w:val="0"/>
        </w:rPr>
        <w:tab/>
      </w:r>
      <w:r>
        <w:rPr>
          <w:rFonts w:hint="default" w:eastAsia="Mangal" w:cs="Mangal" w:asciiTheme="majorAscii" w:hAnsiTheme="majorAscii"/>
          <w:b/>
          <w:rtl w:val="0"/>
        </w:rPr>
        <w:tab/>
      </w:r>
      <w:r>
        <w:rPr>
          <w:rFonts w:hint="default" w:eastAsia="Mangal" w:cs="Mangal" w:asciiTheme="majorAscii" w:hAnsiTheme="majorAscii"/>
          <w:b/>
          <w:rtl w:val="0"/>
        </w:rPr>
        <w:tab/>
      </w:r>
      <w:r>
        <w:rPr>
          <w:rFonts w:hint="default" w:eastAsia="Calibri" w:cs="Calibri" w:asciiTheme="majorAscii" w:hAnsiTheme="majorAscii"/>
          <w:b/>
          <w:rtl w:val="0"/>
        </w:rPr>
        <w:t>:</w:t>
      </w:r>
      <w:r>
        <w:rPr>
          <w:rFonts w:hint="default" w:eastAsia="Cambria Math" w:cs="Cambria Math" w:asciiTheme="majorAscii" w:hAnsiTheme="majorAscii"/>
          <w:rtl w:val="0"/>
        </w:rPr>
        <w:t xml:space="preserve"> 9999680018</w:t>
      </w:r>
    </w:p>
    <w:p>
      <w:pPr>
        <w:spacing w:after="200" w:line="276" w:lineRule="auto"/>
        <w:ind w:right="1237"/>
        <w:rPr>
          <w:rFonts w:hint="default" w:eastAsia="Cambria Math" w:cs="Cambria Math" w:asciiTheme="majorAscii" w:hAnsiTheme="majorAscii"/>
        </w:rPr>
      </w:pPr>
      <w:r>
        <w:rPr>
          <w:rFonts w:hint="default" w:eastAsia="Cambria" w:cs="Cambria" w:asciiTheme="majorAscii" w:hAnsiTheme="majorAscii"/>
          <w:b/>
          <w:rtl w:val="0"/>
        </w:rPr>
        <w:t>Website</w:t>
      </w:r>
      <w:r>
        <w:rPr>
          <w:rFonts w:hint="default" w:eastAsia="Cambria Math" w:cs="Cambria Math" w:asciiTheme="majorAscii" w:hAnsiTheme="majorAscii"/>
          <w:rtl w:val="0"/>
        </w:rPr>
        <w:t xml:space="preserve">                                                          : https://www.becil.com/</w:t>
      </w:r>
    </w:p>
    <w:p>
      <w:pPr>
        <w:spacing w:before="16" w:after="200" w:line="276" w:lineRule="auto"/>
        <w:rPr>
          <w:rFonts w:hint="default" w:eastAsia="Cambria Math" w:cs="Cambria Math" w:asciiTheme="majorAscii" w:hAnsiTheme="majorAscii"/>
        </w:rPr>
      </w:pPr>
      <w:r>
        <w:rPr>
          <w:rFonts w:hint="default" w:eastAsia="Cambria" w:cs="Cambria" w:asciiTheme="majorAscii" w:hAnsiTheme="majorAscii"/>
          <w:b/>
          <w:rtl w:val="0"/>
        </w:rPr>
        <w:t>E</w:t>
      </w:r>
      <w:r>
        <w:rPr>
          <w:rFonts w:hint="default" w:eastAsia="Calibri" w:cs="Calibri" w:asciiTheme="majorAscii" w:hAnsiTheme="majorAscii"/>
          <w:b/>
          <w:rtl w:val="0"/>
        </w:rPr>
        <w:t>-</w:t>
      </w:r>
      <w:r>
        <w:rPr>
          <w:rFonts w:hint="default" w:eastAsia="Cambria" w:cs="Cambria" w:asciiTheme="majorAscii" w:hAnsiTheme="majorAscii"/>
          <w:b/>
          <w:rtl w:val="0"/>
        </w:rPr>
        <w:t>mail</w:t>
      </w:r>
      <w:r>
        <w:rPr>
          <w:rFonts w:hint="default" w:eastAsia="Calibri" w:cs="Calibri" w:asciiTheme="majorAscii" w:hAnsiTheme="majorAscii"/>
          <w:b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rtl w:val="0"/>
        </w:rPr>
        <w:t>address</w:t>
      </w:r>
      <w:r>
        <w:rPr>
          <w:rFonts w:hint="default" w:eastAsia="Cambria" w:cs="Cambria" w:asciiTheme="majorAscii" w:hAnsiTheme="majorAscii"/>
          <w:b/>
          <w:rtl w:val="0"/>
        </w:rPr>
        <w:tab/>
      </w:r>
      <w:r>
        <w:rPr>
          <w:rFonts w:hint="default" w:eastAsia="Cambria" w:cs="Cambria" w:asciiTheme="majorAscii" w:hAnsiTheme="majorAscii"/>
          <w:b/>
          <w:rtl w:val="0"/>
        </w:rPr>
        <w:tab/>
      </w:r>
      <w:r>
        <w:rPr>
          <w:rFonts w:hint="default" w:eastAsia="Cambria" w:cs="Cambria" w:asciiTheme="majorAscii" w:hAnsiTheme="majorAscii"/>
          <w:b/>
          <w:rtl w:val="0"/>
        </w:rPr>
        <w:tab/>
      </w:r>
      <w:r>
        <w:rPr>
          <w:rFonts w:hint="default" w:eastAsia="Cambria" w:cs="Cambria" w:asciiTheme="majorAscii" w:hAnsiTheme="majorAscii"/>
          <w:b/>
          <w:rtl w:val="0"/>
          <w:lang w:val="en-IN"/>
        </w:rPr>
        <w:tab/>
      </w:r>
      <w:r>
        <w:rPr>
          <w:rFonts w:hint="default" w:eastAsia="Cambria" w:cs="Cambria" w:asciiTheme="majorAscii" w:hAnsiTheme="majorAscii"/>
          <w:b/>
          <w:rtl w:val="0"/>
        </w:rPr>
        <w:t xml:space="preserve"> </w:t>
      </w:r>
      <w:r>
        <w:rPr>
          <w:rFonts w:hint="default" w:eastAsia="Calibri" w:cs="Calibri" w:asciiTheme="majorAscii" w:hAnsiTheme="majorAscii"/>
          <w:b/>
          <w:rtl w:val="0"/>
        </w:rPr>
        <w:t>:</w:t>
      </w:r>
      <w:r>
        <w:rPr>
          <w:rFonts w:hint="default" w:eastAsia="Mangal" w:cs="Mangal" w:asciiTheme="majorAscii" w:hAnsiTheme="majorAscii"/>
          <w:b/>
          <w:rtl w:val="0"/>
        </w:rPr>
        <w:t xml:space="preserve"> </w:t>
      </w:r>
      <w:r>
        <w:rPr>
          <w:rFonts w:hint="default" w:eastAsia="Cambria Math" w:cs="Cambria Math" w:asciiTheme="majorAscii" w:hAnsiTheme="majorAscii"/>
          <w:rtl w:val="0"/>
        </w:rPr>
        <w:t>deepakbecil@gmail.com</w:t>
      </w:r>
    </w:p>
    <w:p>
      <w:pPr>
        <w:spacing w:after="200" w:line="20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before="6" w:after="200" w:line="220" w:lineRule="auto"/>
        <w:rPr>
          <w:rFonts w:hint="default" w:eastAsia="Cambria" w:cs="Cambria" w:asciiTheme="majorAscii" w:hAnsiTheme="majorAscii"/>
        </w:rPr>
      </w:pPr>
    </w:p>
    <w:p>
      <w:pPr>
        <w:spacing w:after="200" w:line="276" w:lineRule="auto"/>
        <w:rPr>
          <w:rFonts w:hint="default" w:eastAsia="Cambria" w:cs="Cambria" w:asciiTheme="majorAscii" w:hAnsiTheme="majorAscii"/>
          <w:b/>
          <w:color w:val="008000"/>
        </w:rPr>
      </w:pPr>
      <w:r>
        <w:rPr>
          <w:rFonts w:hint="default" w:eastAsia="Cambria" w:cs="Cambria" w:asciiTheme="majorAscii" w:hAnsiTheme="majorAscii"/>
          <w:b/>
          <w:color w:val="008000"/>
          <w:rtl w:val="0"/>
        </w:rPr>
        <w:t>List of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documents submitted in support of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the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Qualifications</w:t>
      </w:r>
      <w:r>
        <w:rPr>
          <w:rFonts w:hint="default" w:eastAsia="Calibri" w:cs="Calibri" w:asciiTheme="majorAscii" w:hAnsiTheme="majorAscii"/>
          <w:b/>
          <w:color w:val="008000"/>
          <w:rtl w:val="0"/>
        </w:rPr>
        <w:t xml:space="preserve"> </w:t>
      </w:r>
      <w:r>
        <w:rPr>
          <w:rFonts w:hint="default" w:eastAsia="Cambria" w:cs="Cambria" w:asciiTheme="majorAscii" w:hAnsiTheme="majorAscii"/>
          <w:b/>
          <w:color w:val="008000"/>
          <w:rtl w:val="0"/>
        </w:rPr>
        <w:t>File</w:t>
      </w:r>
    </w:p>
    <w:p>
      <w:pPr>
        <w:numPr>
          <w:ilvl w:val="0"/>
          <w:numId w:val="2"/>
        </w:numPr>
        <w:spacing w:line="240" w:lineRule="auto"/>
        <w:ind w:left="720" w:hanging="360"/>
        <w:rPr>
          <w:rFonts w:hint="default" w:eastAsia="Cambria" w:cs="Cambria" w:asciiTheme="majorAscii" w:hAnsiTheme="majorAscii"/>
        </w:rPr>
      </w:pPr>
      <w:r>
        <w:rPr>
          <w:rFonts w:hint="default" w:eastAsia="Cambria" w:cs="Cambria" w:asciiTheme="majorAscii" w:hAnsiTheme="majorAscii"/>
          <w:rtl w:val="0"/>
        </w:rPr>
        <w:t>Curriculum Document</w:t>
      </w:r>
    </w:p>
    <w:p>
      <w:pPr>
        <w:spacing w:after="200" w:line="276" w:lineRule="auto"/>
        <w:ind w:left="720" w:firstLine="0"/>
        <w:rPr>
          <w:rFonts w:hint="default" w:eastAsia="Cambria" w:cs="Cambria" w:asciiTheme="majorAscii" w:hAnsiTheme="majorAscii"/>
        </w:rPr>
      </w:pPr>
    </w:p>
    <w:p>
      <w:pPr>
        <w:widowControl w:val="0"/>
        <w:spacing w:before="161" w:line="240" w:lineRule="auto"/>
        <w:rPr>
          <w:rFonts w:hint="default" w:eastAsia="Cambria" w:cs="Cambria" w:asciiTheme="majorAscii" w:hAnsiTheme="majorAscii"/>
          <w:color w:val="008000"/>
        </w:rPr>
      </w:pPr>
      <w:r>
        <w:rPr>
          <w:rFonts w:hint="default" w:eastAsia="Cambria" w:cs="Cambria" w:asciiTheme="majorAscii" w:hAnsiTheme="majorAscii"/>
          <w:b/>
          <w:color w:val="008000"/>
          <w:rtl w:val="0"/>
        </w:rPr>
        <w:t>SUMMARY</w:t>
      </w:r>
    </w:p>
    <w:p>
      <w:pPr>
        <w:widowControl w:val="0"/>
        <w:spacing w:before="1" w:after="200" w:line="276" w:lineRule="auto"/>
        <w:rPr>
          <w:rFonts w:hint="default" w:eastAsia="Cambria" w:cs="Cambria" w:asciiTheme="majorAscii" w:hAnsiTheme="majorAscii"/>
          <w:b/>
        </w:rPr>
      </w:pPr>
    </w:p>
    <w:tbl>
      <w:tblPr>
        <w:tblStyle w:val="17"/>
        <w:tblW w:w="9738" w:type="dxa"/>
        <w:tblInd w:w="115" w:type="dxa"/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4210"/>
        <w:gridCol w:w="5528"/>
      </w:tblGrid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442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 w:after="200" w:line="276" w:lineRule="auto"/>
              <w:ind w:left="103" w:right="288" w:firstLine="0"/>
              <w:rPr>
                <w:rFonts w:hint="default" w:eastAsia="Cambria" w:cs="Cambria" w:asciiTheme="majorAscii" w:hAnsiTheme="majorAscii"/>
              </w:rPr>
            </w:pP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Qualification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 xml:space="preserve">Title 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 w:after="200" w:line="276" w:lineRule="auto"/>
              <w:ind w:left="103" w:right="288" w:firstLine="0"/>
              <w:rPr>
                <w:rFonts w:hint="default" w:eastAsia="Cambria" w:cs="Cambria" w:asciiTheme="majorAscii" w:hAnsiTheme="majorAscii"/>
                <w:b/>
              </w:rPr>
            </w:pPr>
            <w:r>
              <w:rPr>
                <w:rFonts w:hint="default" w:eastAsia="Calibri" w:cs="Calibri" w:asciiTheme="majorAscii" w:hAnsiTheme="majorAscii"/>
                <w:b/>
                <w:rtl w:val="0"/>
              </w:rPr>
              <w:t>Certificate in CRM Domestic Non Voice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370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after="200" w:line="276" w:lineRule="auto"/>
              <w:ind w:left="103" w:right="288" w:firstLine="0"/>
              <w:rPr>
                <w:rFonts w:hint="default" w:eastAsia="Cambria" w:cs="Cambria" w:asciiTheme="majorAscii" w:hAnsiTheme="majorAscii"/>
              </w:rPr>
            </w:pP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Qualification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 xml:space="preserve">Code 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after="200" w:line="276" w:lineRule="auto"/>
              <w:ind w:left="103" w:right="288" w:firstLine="0"/>
              <w:rPr>
                <w:rFonts w:hint="default" w:eastAsia="Cambria" w:cs="Cambria" w:asciiTheme="majorAscii" w:hAnsiTheme="majorAscii"/>
                <w:b/>
              </w:rPr>
            </w:pPr>
            <w:r>
              <w:rPr>
                <w:rFonts w:hint="default" w:eastAsia="Cambria" w:cs="Cambria" w:asciiTheme="majorAscii" w:hAnsiTheme="majorAscii"/>
                <w:b/>
                <w:rtl w:val="0"/>
              </w:rPr>
              <w:t>SSC/Q2211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3574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after="200" w:line="254" w:lineRule="auto"/>
              <w:ind w:left="103" w:right="288" w:firstLine="0"/>
              <w:rPr>
                <w:rFonts w:hint="default" w:eastAsia="Cambria" w:cs="Cambria" w:asciiTheme="majorAscii" w:hAnsiTheme="majorAscii"/>
              </w:rPr>
            </w:pP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Nature and purpose of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the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 xml:space="preserve">qualification           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spacing w:before="71" w:after="200" w:line="276" w:lineRule="auto"/>
              <w:ind w:left="102" w:firstLine="0"/>
              <w:rPr>
                <w:rFonts w:hint="default" w:eastAsia="Cambria Math" w:cs="Cambria Math" w:asciiTheme="majorAscii" w:hAnsiTheme="majorAscii"/>
                <w:b/>
              </w:rPr>
            </w:pPr>
            <w:r>
              <w:rPr>
                <w:rFonts w:hint="default" w:eastAsia="Calibri" w:cs="Calibri" w:asciiTheme="majorAscii" w:hAnsiTheme="majorAscii"/>
                <w:b/>
                <w:rtl w:val="0"/>
              </w:rPr>
              <w:t>Nature</w:t>
            </w:r>
          </w:p>
          <w:p>
            <w:pPr>
              <w:spacing w:after="200" w:line="276" w:lineRule="auto"/>
              <w:ind w:left="720" w:firstLine="0"/>
              <w:rPr>
                <w:rFonts w:hint="default" w:eastAsia="Cambria Math" w:cs="Cambria Math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rtl w:val="0"/>
              </w:rPr>
              <w:t>55 days Certificate Course in CRM Domestic</w:t>
            </w:r>
            <w:r>
              <w:rPr>
                <w:rFonts w:hint="default" w:eastAsia="Calibri" w:cs="Calibri" w:asciiTheme="majorAscii" w:hAnsiTheme="majorAscii"/>
                <w:b/>
                <w:rtl w:val="0"/>
                <w:lang w:val="en-IN"/>
              </w:rPr>
              <w:t xml:space="preserve"> Non </w:t>
            </w:r>
            <w:r>
              <w:rPr>
                <w:rFonts w:hint="default" w:eastAsia="Calibri" w:cs="Calibri" w:asciiTheme="majorAscii" w:hAnsiTheme="majorAscii"/>
                <w:b/>
                <w:rtl w:val="0"/>
              </w:rPr>
              <w:t xml:space="preserve"> Voice </w:t>
            </w:r>
          </w:p>
          <w:p>
            <w:pPr>
              <w:spacing w:before="62" w:after="200" w:line="276" w:lineRule="auto"/>
              <w:ind w:right="269"/>
              <w:rPr>
                <w:rFonts w:hint="default" w:eastAsia="Calibri" w:cs="Calibri" w:asciiTheme="majorAscii" w:hAnsiTheme="majorAscii"/>
                <w:b/>
              </w:rPr>
            </w:pPr>
            <w:r>
              <w:rPr>
                <w:rFonts w:hint="default" w:eastAsia="Calibri" w:cs="Calibri" w:asciiTheme="majorAscii" w:hAnsiTheme="majorAscii"/>
                <w:b/>
                <w:rtl w:val="0"/>
              </w:rPr>
              <w:t>Purpose</w:t>
            </w:r>
          </w:p>
          <w:p>
            <w:pPr>
              <w:spacing w:line="276" w:lineRule="auto"/>
              <w:ind w:left="720" w:firstLine="0"/>
              <w:rPr>
                <w:rFonts w:hint="default" w:eastAsia="Cambria" w:cs="Cambria" w:asciiTheme="majorAscii" w:hAnsiTheme="majorAscii"/>
                <w:b/>
                <w:color w:val="008000"/>
              </w:rPr>
            </w:pPr>
            <w:r>
              <w:rPr>
                <w:rFonts w:hint="default" w:eastAsia="Calibri" w:cs="Calibri" w:asciiTheme="majorAscii" w:hAnsiTheme="majorAscii"/>
                <w:b/>
                <w:rtl w:val="0"/>
              </w:rPr>
              <w:t>Individuals at this job are responsible for resolving queries and customer cases over web-chat or email.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640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after="200" w:line="254" w:lineRule="auto"/>
              <w:ind w:left="103" w:right="288" w:firstLine="0"/>
              <w:rPr>
                <w:rFonts w:hint="default" w:eastAsia="Cambria" w:cs="Cambria" w:asciiTheme="majorAscii" w:hAnsiTheme="majorAscii"/>
                <w:b/>
                <w:color w:val="008000"/>
              </w:rPr>
            </w:pP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Body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>/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bodies which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will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award the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qualification</w:t>
            </w:r>
          </w:p>
          <w:p>
            <w:pPr>
              <w:widowControl w:val="0"/>
              <w:spacing w:before="13" w:after="200" w:line="254" w:lineRule="auto"/>
              <w:ind w:left="103" w:right="288" w:firstLine="0"/>
              <w:rPr>
                <w:rFonts w:hint="default" w:eastAsia="Cambria" w:cs="Cambria" w:asciiTheme="majorAscii" w:hAnsiTheme="majorAscii"/>
              </w:rPr>
            </w:pP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shd w:val="clear" w:fill="FFFFFF"/>
              <w:spacing w:after="200" w:line="276" w:lineRule="auto"/>
              <w:rPr>
                <w:rFonts w:hint="default" w:eastAsia="Cambria" w:cs="Cambria" w:asciiTheme="majorAscii" w:hAnsiTheme="majorAscii"/>
                <w:b/>
                <w:color w:val="222222"/>
              </w:rPr>
            </w:pPr>
            <w:r>
              <w:rPr>
                <w:rFonts w:hint="default" w:eastAsia="Cambria" w:cs="Cambria" w:asciiTheme="majorAscii" w:hAnsiTheme="majorAscii"/>
                <w:b/>
                <w:color w:val="222222"/>
                <w:rtl w:val="0"/>
              </w:rPr>
              <w:t>Broadcast Engineering Consultants India Limited (BECIL)</w:t>
            </w:r>
          </w:p>
          <w:p>
            <w:pPr>
              <w:widowControl w:val="0"/>
              <w:spacing w:before="13" w:after="200" w:line="254" w:lineRule="auto"/>
              <w:ind w:left="103" w:right="288" w:firstLine="0"/>
              <w:rPr>
                <w:rFonts w:hint="default" w:eastAsia="Cambria" w:cs="Cambria" w:asciiTheme="majorAscii" w:hAnsiTheme="majorAscii"/>
                <w:b/>
                <w:color w:val="008000"/>
              </w:rPr>
            </w:pP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640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 w:after="200" w:line="254" w:lineRule="auto"/>
              <w:ind w:left="103" w:right="288" w:firstLine="0"/>
              <w:rPr>
                <w:rFonts w:hint="default" w:eastAsia="Cambria" w:cs="Cambria" w:asciiTheme="majorAscii" w:hAnsiTheme="majorAscii"/>
              </w:rPr>
            </w:pP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Occupation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>(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s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)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to which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the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qualification gives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access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6" w:after="200" w:line="254" w:lineRule="auto"/>
              <w:ind w:left="103" w:right="288" w:firstLine="0"/>
              <w:rPr>
                <w:rFonts w:hint="default" w:eastAsia="Cambria" w:cs="Cambria" w:asciiTheme="majorAscii" w:hAnsiTheme="majorAscii"/>
                <w:b/>
              </w:rPr>
            </w:pPr>
            <w:r>
              <w:rPr>
                <w:rFonts w:hint="default" w:eastAsia="Cambria" w:cs="Cambria" w:asciiTheme="majorAscii" w:hAnsiTheme="majorAscii"/>
                <w:b/>
                <w:rtl w:val="0"/>
              </w:rPr>
              <w:t>Customer Relationship Management</w:t>
            </w:r>
          </w:p>
        </w:tc>
      </w:tr>
      <w:tr>
        <w:tblPrEx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631" w:hRule="atLeast"/>
        </w:trPr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spacing w:before="13" w:after="200" w:line="254" w:lineRule="auto"/>
              <w:ind w:left="103" w:right="288" w:firstLine="0"/>
              <w:rPr>
                <w:rFonts w:hint="default" w:eastAsia="Cambria" w:cs="Cambria" w:asciiTheme="majorAscii" w:hAnsiTheme="majorAscii"/>
              </w:rPr>
            </w:pP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Entry requirements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 xml:space="preserve">and 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/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or</w:t>
            </w:r>
            <w:r>
              <w:rPr>
                <w:rFonts w:hint="default" w:eastAsia="Arimo" w:cs="Arimo" w:asciiTheme="majorAscii" w:hAnsiTheme="majorAscii"/>
                <w:b/>
                <w:color w:val="008000"/>
                <w:rtl w:val="0"/>
              </w:rPr>
              <w:t xml:space="preserve"> </w:t>
            </w:r>
            <w:r>
              <w:rPr>
                <w:rFonts w:hint="default" w:eastAsia="Cambria" w:cs="Cambria" w:asciiTheme="majorAscii" w:hAnsiTheme="majorAscii"/>
                <w:b/>
                <w:color w:val="008000"/>
                <w:rtl w:val="0"/>
              </w:rPr>
              <w:t>recommendations</w:t>
            </w:r>
          </w:p>
        </w:tc>
        <w:tc>
          <w:tcPr>
            <w:tcBorders>
              <w:top w:val="single" w:color="008000" w:sz="4" w:space="0"/>
              <w:left w:val="single" w:color="008000" w:sz="4" w:space="0"/>
              <w:bottom w:val="single" w:color="008000" w:sz="4" w:space="0"/>
              <w:right w:val="single" w:color="008000" w:sz="4" w:space="0"/>
            </w:tcBorders>
          </w:tcPr>
          <w:p>
            <w:pPr>
              <w:widowControl w:val="0"/>
              <w:tabs>
                <w:tab w:val="left" w:pos="1988"/>
              </w:tabs>
              <w:spacing w:before="13" w:after="200" w:line="254" w:lineRule="auto"/>
              <w:ind w:left="103" w:right="288" w:firstLine="0"/>
              <w:rPr>
                <w:rFonts w:hint="default" w:eastAsia="Cambria" w:cs="Cambria" w:asciiTheme="majorAscii" w:hAnsiTheme="majorAscii"/>
                <w:b/>
              </w:rPr>
            </w:pPr>
            <w:r>
              <w:rPr>
                <w:rFonts w:hint="default" w:eastAsia="Cambria" w:cs="Cambria" w:asciiTheme="majorAscii" w:hAnsiTheme="majorAscii"/>
                <w:b/>
                <w:rtl w:val="0"/>
              </w:rPr>
              <w:t>10th  Standard Pass</w:t>
            </w:r>
            <w:r>
              <w:rPr>
                <w:rFonts w:hint="default" w:eastAsia="Cambria" w:cs="Cambria" w:asciiTheme="majorAscii" w:hAnsiTheme="majorAscii"/>
                <w:b/>
                <w:rtl w:val="0"/>
              </w:rPr>
              <w:tab/>
            </w:r>
          </w:p>
        </w:tc>
      </w:tr>
    </w:tbl>
    <w:p>
      <w:pPr>
        <w:widowControl w:val="0"/>
        <w:spacing w:before="161" w:line="240" w:lineRule="auto"/>
        <w:rPr>
          <w:rFonts w:hint="default" w:eastAsia="Cambria" w:cs="Cambria" w:asciiTheme="majorAscii" w:hAnsiTheme="majorAscii"/>
          <w:color w:val="7EBA66"/>
        </w:rPr>
      </w:pP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  <w:r>
        <w:rPr>
          <w:rFonts w:hint="default" w:eastAsia="Century Gothic" w:cs="Century Gothic" w:asciiTheme="majorAscii" w:hAnsiTheme="majorAscii"/>
          <w:sz w:val="28"/>
          <w:szCs w:val="28"/>
          <w:rtl w:val="0"/>
        </w:rPr>
        <w:t xml:space="preserve">                                </w:t>
      </w: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  <w:r>
        <w:rPr>
          <w:rFonts w:hint="default" w:eastAsia="Century Gothic" w:cs="Century Gothic" w:asciiTheme="majorAscii" w:hAnsiTheme="majorAscii"/>
          <w:sz w:val="28"/>
          <w:szCs w:val="28"/>
          <w:rtl w:val="0"/>
        </w:rPr>
        <w:t xml:space="preserve">                   </w:t>
      </w: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</w:p>
    <w:p>
      <w:pPr>
        <w:tabs>
          <w:tab w:val="left" w:pos="9320"/>
        </w:tabs>
        <w:spacing w:line="276" w:lineRule="auto"/>
        <w:rPr>
          <w:rFonts w:hint="default" w:eastAsia="Century Gothic" w:cs="Century Gothic" w:asciiTheme="majorAscii" w:hAnsiTheme="majorAscii"/>
          <w:sz w:val="28"/>
          <w:szCs w:val="28"/>
        </w:rPr>
      </w:pPr>
      <w:r>
        <w:rPr>
          <w:rFonts w:hint="default" w:eastAsia="Century Gothic" w:cs="Century Gothic" w:asciiTheme="majorAscii" w:hAnsiTheme="majorAscii"/>
          <w:sz w:val="28"/>
          <w:szCs w:val="28"/>
          <w:rtl w:val="0"/>
        </w:rPr>
        <w:t xml:space="preserve">                                                                                                                          </w:t>
      </w:r>
      <w:r>
        <w:rPr>
          <w:rFonts w:hint="default" w:eastAsia="Century Gothic" w:cs="Century Gothic" w:asciiTheme="majorAscii" w:hAnsiTheme="majorAscii"/>
          <w:b/>
          <w:sz w:val="28"/>
          <w:szCs w:val="28"/>
          <w:rtl w:val="0"/>
        </w:rPr>
        <w:t xml:space="preserve">                                                                                  </w:t>
      </w:r>
    </w:p>
    <w:p>
      <w:pPr>
        <w:numPr>
          <w:ilvl w:val="0"/>
          <w:numId w:val="3"/>
        </w:numPr>
        <w:spacing w:line="276" w:lineRule="auto"/>
        <w:ind w:left="36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b/>
          <w:sz w:val="20"/>
          <w:szCs w:val="20"/>
          <w:u w:val="single"/>
          <w:rtl w:val="0"/>
        </w:rPr>
        <w:t>OBJECTIVE OF THE COURSE</w:t>
      </w:r>
      <w:r>
        <w:rPr>
          <w:rFonts w:hint="default" w:eastAsia="Century Gothic" w:cs="Century Gothic" w:asciiTheme="majorAscii" w:hAnsiTheme="majorAscii"/>
          <w:b/>
          <w:sz w:val="20"/>
          <w:szCs w:val="20"/>
          <w:rtl w:val="0"/>
        </w:rPr>
        <w:t xml:space="preserve">: - </w:t>
      </w:r>
    </w:p>
    <w:p>
      <w:pPr>
        <w:spacing w:line="276" w:lineRule="auto"/>
        <w:ind w:left="360" w:firstLine="0"/>
        <w:jc w:val="both"/>
        <w:rPr>
          <w:rFonts w:hint="default" w:eastAsia="Century Gothic" w:cs="Century Gothic" w:asciiTheme="majorAscii" w:hAnsiTheme="majorAscii"/>
          <w:b/>
          <w:sz w:val="20"/>
          <w:szCs w:val="20"/>
          <w:u w:val="single"/>
        </w:rPr>
      </w:pPr>
    </w:p>
    <w:p>
      <w:pPr>
        <w:spacing w:line="276" w:lineRule="auto"/>
        <w:ind w:left="360" w:firstLine="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  <w:rtl w:val="0"/>
        </w:rPr>
        <w:t>Individuals at this job are responsible for resolving queries and customer cases over web-chat or email.</w:t>
      </w:r>
    </w:p>
    <w:p>
      <w:pPr>
        <w:spacing w:line="276" w:lineRule="auto"/>
        <w:ind w:left="360" w:firstLine="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</w:p>
    <w:p>
      <w:pPr>
        <w:numPr>
          <w:ilvl w:val="0"/>
          <w:numId w:val="3"/>
        </w:numPr>
        <w:spacing w:line="276" w:lineRule="auto"/>
        <w:ind w:left="360"/>
        <w:jc w:val="both"/>
        <w:rPr>
          <w:rFonts w:hint="default" w:eastAsia="Century Gothic" w:cs="Century Gothic" w:asciiTheme="majorAscii" w:hAnsiTheme="majorAscii"/>
          <w:color w:val="auto"/>
          <w:sz w:val="20"/>
          <w:szCs w:val="20"/>
        </w:rPr>
      </w:pPr>
      <w:r>
        <w:rPr>
          <w:rFonts w:hint="default" w:eastAsia="Century Gothic" w:cs="Century Gothic" w:asciiTheme="majorAscii" w:hAnsiTheme="majorAscii"/>
          <w:b/>
          <w:color w:val="auto"/>
          <w:sz w:val="20"/>
          <w:szCs w:val="20"/>
          <w:u w:val="single"/>
          <w:rtl w:val="0"/>
          <w:lang w:val="en-IN"/>
        </w:rPr>
        <w:t>TRAINING</w:t>
      </w:r>
      <w:r>
        <w:rPr>
          <w:rFonts w:hint="default" w:eastAsia="Century Gothic" w:cs="Century Gothic" w:asciiTheme="majorAscii" w:hAnsiTheme="majorAscii"/>
          <w:b/>
          <w:color w:val="auto"/>
          <w:sz w:val="20"/>
          <w:szCs w:val="20"/>
          <w:u w:val="single"/>
          <w:rtl w:val="0"/>
        </w:rPr>
        <w:t xml:space="preserve"> OUTCOMES :- </w:t>
      </w:r>
    </w:p>
    <w:p>
      <w:pPr>
        <w:spacing w:line="276" w:lineRule="auto"/>
        <w:ind w:left="360" w:firstLine="0"/>
        <w:jc w:val="both"/>
        <w:rPr>
          <w:rFonts w:hint="default" w:eastAsia="Century Gothic" w:cs="Century Gothic" w:asciiTheme="majorAscii" w:hAnsiTheme="majorAscii"/>
          <w:b/>
          <w:sz w:val="16"/>
          <w:szCs w:val="16"/>
          <w:u w:val="single"/>
        </w:rPr>
      </w:pPr>
    </w:p>
    <w:p>
      <w:pPr>
        <w:spacing w:line="276" w:lineRule="auto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</w:rPr>
        <w:t>After completing this programme, participants will be able to: </w:t>
      </w:r>
    </w:p>
    <w:p>
      <w:pPr>
        <w:numPr>
          <w:ilvl w:val="0"/>
          <w:numId w:val="4"/>
        </w:numPr>
        <w:tabs>
          <w:tab w:val="left" w:pos="420"/>
          <w:tab w:val="clear" w:pos="840"/>
        </w:tabs>
        <w:spacing w:line="276" w:lineRule="auto"/>
        <w:ind w:left="840" w:leftChars="0" w:hanging="420" w:firstLineChars="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</w:rPr>
        <w:t>Deal remotely with customer queries in the domestic market </w:t>
      </w:r>
    </w:p>
    <w:p>
      <w:pPr>
        <w:numPr>
          <w:ilvl w:val="0"/>
          <w:numId w:val="4"/>
        </w:numPr>
        <w:tabs>
          <w:tab w:val="left" w:pos="420"/>
          <w:tab w:val="clear" w:pos="840"/>
        </w:tabs>
        <w:spacing w:line="276" w:lineRule="auto"/>
        <w:ind w:left="840" w:leftChars="0" w:hanging="420" w:firstLineChars="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</w:rPr>
        <w:t xml:space="preserve">Manage their work to meet requirements  </w:t>
      </w:r>
    </w:p>
    <w:p>
      <w:pPr>
        <w:numPr>
          <w:ilvl w:val="0"/>
          <w:numId w:val="4"/>
        </w:numPr>
        <w:tabs>
          <w:tab w:val="left" w:pos="420"/>
          <w:tab w:val="clear" w:pos="840"/>
        </w:tabs>
        <w:spacing w:line="276" w:lineRule="auto"/>
        <w:ind w:left="840" w:leftChars="0" w:hanging="420" w:firstLineChars="0"/>
        <w:jc w:val="both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sz w:val="20"/>
          <w:szCs w:val="20"/>
        </w:rPr>
        <w:t>Maintain a healthy, safe and secure working environment</w:t>
      </w:r>
    </w:p>
    <w:p>
      <w:pPr>
        <w:spacing w:line="276" w:lineRule="auto"/>
        <w:ind w:left="360" w:firstLine="0"/>
        <w:jc w:val="both"/>
        <w:rPr>
          <w:rFonts w:hint="default" w:eastAsia="Century Gothic" w:cs="Century Gothic" w:asciiTheme="majorAscii" w:hAnsiTheme="majorAscii"/>
          <w:b/>
          <w:sz w:val="24"/>
          <w:szCs w:val="24"/>
          <w:u w:val="single"/>
        </w:rPr>
      </w:pPr>
    </w:p>
    <w:p>
      <w:pPr>
        <w:numPr>
          <w:ilvl w:val="0"/>
          <w:numId w:val="3"/>
        </w:numPr>
        <w:spacing w:after="200" w:line="276" w:lineRule="auto"/>
        <w:ind w:left="360"/>
        <w:rPr>
          <w:rFonts w:hint="default" w:eastAsia="Century Gothic" w:cs="Century Gothic" w:asciiTheme="majorAscii" w:hAnsiTheme="majorAscii"/>
          <w:sz w:val="20"/>
          <w:szCs w:val="20"/>
        </w:rPr>
      </w:pPr>
      <w:r>
        <w:rPr>
          <w:rFonts w:hint="default" w:eastAsia="Century Gothic" w:cs="Century Gothic" w:asciiTheme="majorAscii" w:hAnsiTheme="majorAscii"/>
          <w:b/>
          <w:sz w:val="20"/>
          <w:szCs w:val="20"/>
          <w:rtl w:val="0"/>
        </w:rPr>
        <w:t>MODULE- 55 DAYS (CERTIFICATE PROGRAM IN CRM Domestic Non Voice)</w:t>
      </w:r>
    </w:p>
    <w:tbl>
      <w:tblPr>
        <w:tblStyle w:val="18"/>
        <w:tblpPr w:leftFromText="180" w:rightFromText="180" w:vertAnchor="text" w:horzAnchor="page" w:tblpX="759" w:tblpY="787"/>
        <w:tblOverlap w:val="never"/>
        <w:tblW w:w="109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84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gridSpan w:val="2"/>
          </w:tcPr>
          <w:p>
            <w:pPr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u w:val="single"/>
              </w:rPr>
            </w:pPr>
          </w:p>
          <w:p>
            <w:pPr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u w:val="single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DURATION :- 55 DAYS</w:t>
            </w:r>
          </w:p>
          <w:p>
            <w:pPr>
              <w:spacing w:after="0" w:line="240" w:lineRule="auto"/>
              <w:jc w:val="center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u w:val="single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u w:val="single"/>
                <w:rtl w:val="0"/>
              </w:rPr>
              <w:t>CERTIFICATE PROGRAM IN CRM DOMESTIC NON VOICE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MODULE CODE &amp; NAMES </w:t>
            </w:r>
          </w:p>
        </w:tc>
        <w:tc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1</w:t>
            </w:r>
          </w:p>
        </w:tc>
        <w:tc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SSC/N3021</w:t>
            </w:r>
          </w:p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 xml:space="preserve"> Deal remotely with customer queries (Domestic)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 is about dealing with queries received from customers by e-mail or chat.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Customers:</w:t>
            </w:r>
          </w:p>
          <w:p>
            <w:pPr>
              <w:keepLines/>
              <w:widowControl/>
              <w:numPr>
                <w:ilvl w:val="0"/>
                <w:numId w:val="5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internal</w:t>
            </w:r>
          </w:p>
          <w:p>
            <w:pPr>
              <w:keepLines/>
              <w:widowControl/>
              <w:numPr>
                <w:ilvl w:val="0"/>
                <w:numId w:val="5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external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Queries received by:</w:t>
            </w:r>
          </w:p>
          <w:p>
            <w:pPr>
              <w:keepLines/>
              <w:widowControl/>
              <w:numPr>
                <w:ilvl w:val="0"/>
                <w:numId w:val="5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e-mail</w:t>
            </w:r>
          </w:p>
          <w:p>
            <w:pPr>
              <w:keepLines/>
              <w:widowControl/>
              <w:numPr>
                <w:ilvl w:val="0"/>
                <w:numId w:val="5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chat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Appropriate people:</w:t>
            </w:r>
          </w:p>
          <w:p>
            <w:pPr>
              <w:keepLines/>
              <w:widowControl/>
              <w:numPr>
                <w:ilvl w:val="0"/>
                <w:numId w:val="5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supervisor</w:t>
            </w:r>
          </w:p>
          <w:p>
            <w:pPr>
              <w:keepLines/>
              <w:widowControl/>
              <w:numPr>
                <w:ilvl w:val="0"/>
                <w:numId w:val="5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other members of your team</w:t>
            </w:r>
          </w:p>
          <w:p>
            <w:pPr>
              <w:keepLines/>
              <w:widowControl/>
              <w:numPr>
                <w:ilvl w:val="0"/>
                <w:numId w:val="5"/>
              </w:numPr>
              <w:spacing w:after="200" w:line="240" w:lineRule="auto"/>
              <w:ind w:left="720" w:hanging="36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subject matter experts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competent, you must be able to: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PC1. greet customers and verify their details, following your organization’s procedures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PC2. read carefully, summarize, and obtain customer confirmation of, your understanding of queries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PC3. express your concern for any difficulties caused and your commitment to resolving queries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PC4. record and categorize queries accurately using your organization’s query management tool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PC5. refer queries outside your area of competence or authority promptly to appropriate people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PC6. access your organization’s knowledge base for solutions to queries, where available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PC7. resolve queries within your area of competence or authority in line with organizational guidelines and service level agreements (SLAs)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PC8. obtain advice and guidance from appropriate people, where necessary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PC9. obtain confirmation from customers that queries have been resolved to their satisfaction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PC10. record the resolution of queries accurately using your organization’s query management tool</w:t>
            </w:r>
          </w:p>
          <w:p>
            <w:pPr>
              <w:keepLines/>
              <w:widowControl/>
              <w:spacing w:after="200" w:line="240" w:lineRule="auto"/>
              <w:ind w:left="0" w:firstLine="0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PC11. comply with relevant standards, policies, procedures and guidelines when dealing remotely with customer queries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2</w:t>
            </w:r>
          </w:p>
        </w:tc>
        <w:tc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SSC/N9001</w:t>
            </w:r>
          </w:p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 xml:space="preserve"> Manage your work to meet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 is about planning and organizing your work in order to complete it to the required standards on time.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t>Work requirements:</w:t>
            </w: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br w:type="textWrapping"/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activities (what you are required to do)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deliverable (the outputs of your work)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quantity (the volume of work you are expected to complete)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standards (what is acceptable performance, including compliance with Service Level Agreements)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timing (when your work needs to be completed)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t>Appropriate people: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line manager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the person requesting the work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members of the team/department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members from other teams/departments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sz w:val="20"/>
                <w:szCs w:val="20"/>
                <w:rtl w:val="0"/>
              </w:rPr>
              <w:t>Resources: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equipment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materials</w:t>
            </w:r>
          </w:p>
          <w:p>
            <w:pPr>
              <w:numPr>
                <w:ilvl w:val="0"/>
                <w:numId w:val="6"/>
              </w:numPr>
              <w:spacing w:after="0" w:line="240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 on the job, you must be able to: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PC1. establish and agree your work requirements with appropriate people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PC2. keep your immediate work area clean and tidy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PC3. utilize your time effectively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PC4. use resources correctly and efficiently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PC5. treat confidential information correctly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PC6. work in line with your organization’s policies and procedures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PC7. work within the limits of your job role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PC8. obtain guidance from appropriate people, where necessary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PC9. ensure your work meets the agreed requirements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3</w:t>
            </w:r>
          </w:p>
        </w:tc>
        <w:tc>
          <w:p>
            <w:pPr>
              <w:spacing w:after="0" w:line="240" w:lineRule="auto"/>
              <w:jc w:val="both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Code :- SSC/N9003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Module :-</w:t>
            </w: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Maintain a healthy, safe and secure working environment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OBJECTIVE OF THE MODULES </w:t>
            </w:r>
          </w:p>
        </w:tc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 is about monitoring the working environment and making sure it meets requirements for health, safety and security.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SCOPE</w:t>
            </w:r>
          </w:p>
        </w:tc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This unit/task covers the following: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Emergency procedures: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illness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accidents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fires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other reasons to evacuate the premises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breaches of security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br w:type="textWrapping"/>
            </w:r>
          </w:p>
          <w:p>
            <w:pPr>
              <w:spacing w:after="0" w:line="240" w:lineRule="auto"/>
              <w:ind w:left="0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Resources(needed to achieve the unit objectives):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information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hint="default" w:eastAsia="Century Gothic" w:cs="Century Gothic" w:asciiTheme="majorAscii" w:hAnsiTheme="majorAscii"/>
                <w:sz w:val="20"/>
                <w:szCs w:val="20"/>
                <w:u w:val="none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government agencies in the areas of safety, health and security and their norms and services</w:t>
            </w:r>
          </w:p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p>
            <w:pPr>
              <w:spacing w:after="0" w:line="240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Performance Criteria (PC) w.r.t. the Scope</w:t>
            </w:r>
          </w:p>
        </w:tc>
        <w:tc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To be competent, you must be able to: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PC1. comply with your organization’s current health, safety and security policies and procedures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PC2. report any identified breaches in health, safety, and security policies and procedures to the designated person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PC3. identify and correct any hazards that you can deal with safely, competently and within the limits of your authority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PC4. report any hazards that you are not allowed to deal with to the relevant person in line with organizational procedures and warn other people who may be affected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PC5. follow your organization’s emergency procedures promptly, calmly, and efficiently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PC6. identify and recommend opportunities for improving health, safety, and security to the designated person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PC7. complete any health and safety records legibly and accurately</w:t>
            </w:r>
          </w:p>
        </w:tc>
      </w:tr>
    </w:tbl>
    <w:p>
      <w:pPr>
        <w:spacing w:line="276" w:lineRule="auto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tbl>
      <w:tblPr>
        <w:tblStyle w:val="19"/>
        <w:tblpPr w:leftFromText="180" w:rightFromText="180" w:vertAnchor="text" w:horzAnchor="page" w:tblpX="701" w:tblpY="275"/>
        <w:tblOverlap w:val="never"/>
        <w:tblW w:w="10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960"/>
        <w:gridCol w:w="6440"/>
        <w:gridCol w:w="1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shd w:val="clear" w:color="auto" w:fill="DADADA"/>
          </w:tcPr>
          <w:p>
            <w:pPr>
              <w:widowControl w:val="0"/>
              <w:spacing w:before="9" w:line="218" w:lineRule="auto"/>
              <w:ind w:left="107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Sr. No.</w:t>
            </w:r>
          </w:p>
        </w:tc>
        <w:tc>
          <w:tcPr>
            <w:shd w:val="clear" w:color="auto" w:fill="DADADA"/>
          </w:tcPr>
          <w:p>
            <w:pPr>
              <w:widowControl w:val="0"/>
              <w:spacing w:before="9" w:line="218" w:lineRule="auto"/>
              <w:ind w:left="107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color w:val="221E1F"/>
                <w:sz w:val="20"/>
                <w:szCs w:val="20"/>
                <w:rtl w:val="0"/>
              </w:rPr>
              <w:t>Module</w:t>
            </w:r>
          </w:p>
        </w:tc>
        <w:tc>
          <w:tcPr>
            <w:shd w:val="clear" w:color="auto" w:fill="DADADA"/>
          </w:tcPr>
          <w:p>
            <w:pPr>
              <w:widowControl w:val="0"/>
              <w:spacing w:before="9" w:line="218" w:lineRule="auto"/>
              <w:ind w:left="108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>Key Learning Outcomes</w:t>
            </w:r>
          </w:p>
        </w:tc>
        <w:tc>
          <w:tcPr>
            <w:shd w:val="clear" w:color="auto" w:fill="DADADA"/>
          </w:tcPr>
          <w:p>
            <w:pPr>
              <w:widowControl w:val="0"/>
              <w:spacing w:before="9" w:line="218" w:lineRule="auto"/>
              <w:ind w:left="107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color w:val="221E1F"/>
                <w:sz w:val="20"/>
                <w:szCs w:val="20"/>
                <w:rtl w:val="0"/>
              </w:rPr>
              <w:t>Equipment Required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2" w:hRule="atLeast"/>
        </w:trPr>
        <w:tc>
          <w:p>
            <w:pPr>
              <w:widowControl w:val="0"/>
              <w:spacing w:before="1" w:line="240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1</w:t>
            </w:r>
          </w:p>
        </w:tc>
        <w:tc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color w:val="4F81BD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t xml:space="preserve">Deal remotely with customer queries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br w:type="textWrapping"/>
            </w:r>
          </w:p>
          <w:p>
            <w:pPr>
              <w:widowControl w:val="0"/>
              <w:spacing w:line="225" w:lineRule="auto"/>
              <w:ind w:left="107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  <w:p>
            <w:pPr>
              <w:widowControl w:val="0"/>
              <w:spacing w:line="225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color w:val="4F81BD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t xml:space="preserve">Theory Duration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(hh:mm) 40:00 </w:t>
            </w:r>
          </w:p>
          <w:p>
            <w:pPr>
              <w:widowControl w:val="0"/>
              <w:spacing w:line="225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  <w:p>
            <w:pPr>
              <w:widowControl w:val="0"/>
              <w:spacing w:line="225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color w:val="4F81BD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t>Practical Duration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(hh:mm) 210:00 </w:t>
            </w:r>
          </w:p>
          <w:p>
            <w:pPr>
              <w:widowControl w:val="0"/>
              <w:spacing w:line="225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  <w:p>
            <w:pPr>
              <w:widowControl w:val="0"/>
              <w:spacing w:line="225" w:lineRule="auto"/>
              <w:rPr>
                <w:rFonts w:hint="default" w:eastAsia="Century Gothic" w:cs="Century Gothic" w:asciiTheme="majorAscii" w:hAnsiTheme="majorAscii"/>
                <w:b/>
                <w:bCs/>
                <w:color w:val="4F81BD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eastAsia="Century Gothic" w:cs="Century Gothic" w:asciiTheme="majorAscii" w:hAnsiTheme="majorAscii"/>
                <w:b/>
                <w:bCs/>
                <w:color w:val="4F81BD" w:themeColor="accent1"/>
                <w:sz w:val="20"/>
                <w:szCs w:val="20"/>
                <w14:textFill>
                  <w14:solidFill>
                    <w14:schemeClr w14:val="accent1"/>
                  </w14:solidFill>
                </w14:textFill>
              </w:rPr>
              <w:t xml:space="preserve">Corresponding NOS Code </w:t>
            </w:r>
          </w:p>
          <w:p>
            <w:pPr>
              <w:widowControl w:val="0"/>
              <w:spacing w:line="225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SSC/N3021</w:t>
            </w:r>
          </w:p>
        </w:tc>
        <w:tc>
          <w:p>
            <w:pPr>
              <w:widowControl w:val="0"/>
              <w:spacing w:before="1" w:line="240" w:lineRule="auto"/>
              <w:ind w:left="108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>The learners should be able to: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Greet customers and verify their details, following r organization’s procedures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Read carefully, summarize, and obtain customer confirmation of, your understanding of queries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Express their concern for any difficulties caused and commitment to resolving queries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Record and categorize queries accurately using their organization’s query management tool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Refer queries outside their area of competence or authority promptly to appropriate people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Access organization’s knowledge base for solutions to queries, where available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Resolve queries within their area of competence or authority in line with organizational guidelines and service level agreements (SLAs)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Obtain advice and guidance from appropriate people, where necessary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Obtain confirmation from customers that queries have been resolved to their satisfaction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Record the resolution of queries accurately using their organization’s query management tool </w:t>
            </w:r>
          </w:p>
          <w:p>
            <w:pPr>
              <w:widowControl w:val="0"/>
              <w:numPr>
                <w:ilvl w:val="0"/>
                <w:numId w:val="8"/>
              </w:numPr>
              <w:tabs>
                <w:tab w:val="left" w:pos="397"/>
              </w:tabs>
              <w:spacing w:line="240" w:lineRule="auto"/>
              <w:ind w:left="396" w:right="326" w:hanging="288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Comply with relevant standards, policies, procedures and guidelines when dealing remotely with customer queries</w:t>
            </w:r>
          </w:p>
        </w:tc>
        <w:tc>
          <w:p>
            <w:pPr>
              <w:widowControl w:val="0"/>
              <w:numPr>
                <w:ilvl w:val="0"/>
                <w:numId w:val="0"/>
              </w:numPr>
              <w:spacing w:before="8" w:line="249" w:lineRule="auto"/>
              <w:ind w:leftChars="0" w:right="133" w:righ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8" w:line="249" w:lineRule="auto"/>
              <w:ind w:leftChars="0" w:right="133" w:righ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•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lang w:val="en-IN"/>
              </w:rPr>
              <w:t xml:space="preserve">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Internet messenger and Web based Chat tools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br w:type="textWrapping"/>
            </w:r>
          </w:p>
          <w:p>
            <w:pPr>
              <w:widowControl w:val="0"/>
              <w:numPr>
                <w:ilvl w:val="0"/>
                <w:numId w:val="0"/>
              </w:numPr>
              <w:spacing w:before="8" w:line="249" w:lineRule="auto"/>
              <w:ind w:leftChars="0" w:right="133" w:righ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• Any CRM and ticketing tool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br w:type="textWrapping"/>
            </w:r>
          </w:p>
          <w:p>
            <w:pPr>
              <w:widowControl w:val="0"/>
              <w:numPr>
                <w:ilvl w:val="0"/>
                <w:numId w:val="0"/>
              </w:numPr>
              <w:spacing w:before="8" w:line="249" w:lineRule="auto"/>
              <w:ind w:leftChars="0" w:right="133" w:righ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• Open Office or MS – Office (word, Excel, PPT, Outlook)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br w:type="textWrapping"/>
            </w:r>
          </w:p>
          <w:p>
            <w:pPr>
              <w:widowControl w:val="0"/>
              <w:numPr>
                <w:ilvl w:val="0"/>
                <w:numId w:val="0"/>
              </w:numPr>
              <w:spacing w:before="8" w:line="249" w:lineRule="auto"/>
              <w:ind w:leftChars="0" w:right="133" w:righ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• Access to PC, LAN, search engine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W w:w="1960" w:type="dxa"/>
            <w:vAlign w:val="top"/>
          </w:tcPr>
          <w:p>
            <w:pPr>
              <w:spacing w:after="250" w:line="244" w:lineRule="auto"/>
              <w:ind w:left="1"/>
              <w:rPr>
                <w:rFonts w:hint="default" w:asciiTheme="majorAscii" w:hAnsiTheme="majorAscii"/>
                <w:b/>
                <w:color w:val="006FC0"/>
                <w:sz w:val="20"/>
                <w:szCs w:val="20"/>
                <w:lang w:val="en-IN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  <w:lang w:val="en-IN"/>
              </w:rPr>
              <w:t>Manage your work to meet Requirements</w:t>
            </w:r>
          </w:p>
          <w:p>
            <w:pPr>
              <w:ind w:left="1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t xml:space="preserve">Theory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(hh:mm) 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30</w:t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:00 </w:t>
            </w:r>
          </w:p>
          <w:p>
            <w:pPr>
              <w:ind w:left="1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t xml:space="preserve">Practical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(hh:mm) 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70</w:t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:00 </w:t>
            </w:r>
          </w:p>
          <w:p>
            <w:pPr>
              <w:ind w:left="1" w:lef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szCs w:val="20"/>
              </w:rPr>
              <w:t>Corresponding NOS Code</w:t>
            </w:r>
            <w:r>
              <w:rPr>
                <w:rFonts w:hint="default" w:asciiTheme="majorAscii" w:hAnsiTheme="majorAscii"/>
                <w:b/>
                <w:color w:val="201D1F"/>
                <w:sz w:val="20"/>
                <w:szCs w:val="20"/>
              </w:rPr>
              <w:t xml:space="preserve"> 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S</w:t>
            </w:r>
            <w:r>
              <w:rPr>
                <w:rFonts w:hint="default" w:asciiTheme="majorAscii" w:hAnsiTheme="majorAscii"/>
                <w:sz w:val="20"/>
                <w:szCs w:val="20"/>
              </w:rPr>
              <w:t>S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C</w:t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 / N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>9001</w:t>
            </w:r>
            <w:r>
              <w:rPr>
                <w:rFonts w:hint="default" w:asciiTheme="majorAscii" w:hAnsiTheme="majorAscii"/>
                <w:sz w:val="20"/>
                <w:szCs w:val="20"/>
              </w:rPr>
              <w:t xml:space="preserve"> </w:t>
            </w:r>
          </w:p>
        </w:tc>
        <w:tc>
          <w:tcPr>
            <w:tcW w:w="6440" w:type="dxa"/>
            <w:vAlign w:val="top"/>
          </w:tcPr>
          <w:p>
            <w:pPr>
              <w:pStyle w:val="21"/>
              <w:numPr>
                <w:ilvl w:val="0"/>
                <w:numId w:val="9"/>
              </w:numPr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Comprehend your work requirements, output, target with appropriate people as per organization policy.</w:t>
            </w:r>
          </w:p>
          <w:p>
            <w:pPr>
              <w:pStyle w:val="21"/>
              <w:numPr>
                <w:ilvl w:val="0"/>
                <w:numId w:val="9"/>
              </w:numPr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Use your time and resources judiciously.</w:t>
            </w:r>
          </w:p>
          <w:p>
            <w:pPr>
              <w:pStyle w:val="21"/>
              <w:numPr>
                <w:ilvl w:val="0"/>
                <w:numId w:val="9"/>
              </w:numPr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Keep the workplace clean and operate in a tidy environment.</w:t>
            </w:r>
          </w:p>
          <w:p>
            <w:pPr>
              <w:pStyle w:val="21"/>
              <w:numPr>
                <w:ilvl w:val="0"/>
                <w:numId w:val="9"/>
              </w:numPr>
              <w:ind w:left="289" w:left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Treat confidential information correctly.</w:t>
            </w:r>
          </w:p>
        </w:tc>
        <w:tc>
          <w:tcPr>
            <w:tcW w:w="184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Whiteboard and Markers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LCD Projector and Laptop for presentations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Training organization’s confidentiality policy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W w:w="1960" w:type="dxa"/>
            <w:vAlign w:val="top"/>
          </w:tcPr>
          <w:p>
            <w:pPr>
              <w:ind w:left="1"/>
              <w:rPr>
                <w:rFonts w:hint="default" w:asciiTheme="majorAscii" w:hAnsiTheme="majorAscii"/>
                <w:b/>
                <w:color w:val="006FC0"/>
                <w:sz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  <w:lang w:val="en-US" w:eastAsia="zh-CN"/>
              </w:rPr>
              <w:t>Maintain a healthy, safe and secure working environment</w:t>
            </w:r>
            <w:r>
              <w:rPr>
                <w:rFonts w:hint="default" w:asciiTheme="majorAscii" w:hAnsiTheme="majorAscii"/>
                <w:b/>
                <w:color w:val="006FC0"/>
                <w:sz w:val="20"/>
                <w:lang w:val="en-US" w:eastAsia="zh-CN"/>
              </w:rPr>
              <w:br w:type="textWrapping"/>
            </w:r>
          </w:p>
          <w:p>
            <w:pPr>
              <w:ind w:left="1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</w:rPr>
              <w:t xml:space="preserve">Theory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</w:rPr>
              <w:t xml:space="preserve">(hh:mm) </w:t>
            </w:r>
            <w:r>
              <w:rPr>
                <w:rFonts w:hint="default" w:asciiTheme="majorAscii" w:hAnsiTheme="majorAscii"/>
                <w:sz w:val="20"/>
                <w:lang w:val="en-IN"/>
              </w:rPr>
              <w:t>12</w:t>
            </w:r>
            <w:r>
              <w:rPr>
                <w:rFonts w:hint="default" w:asciiTheme="majorAscii" w:hAnsiTheme="majorAscii"/>
                <w:sz w:val="20"/>
              </w:rPr>
              <w:t xml:space="preserve">:00 </w:t>
            </w:r>
            <w:r>
              <w:rPr>
                <w:rFonts w:hint="default" w:asciiTheme="majorAscii" w:hAnsiTheme="majorAscii"/>
                <w:sz w:val="20"/>
              </w:rPr>
              <w:br w:type="textWrapping"/>
            </w:r>
          </w:p>
          <w:p>
            <w:pPr>
              <w:ind w:left="1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</w:rPr>
              <w:t xml:space="preserve">Practical Duration </w:t>
            </w:r>
            <w:r>
              <w:rPr>
                <w:rFonts w:hint="default" w:asciiTheme="majorAscii" w:hAnsiTheme="majorAscii"/>
                <w:b/>
                <w:color w:val="006FC0"/>
                <w:sz w:val="20"/>
              </w:rPr>
              <w:br w:type="textWrapping"/>
            </w:r>
            <w:r>
              <w:rPr>
                <w:rFonts w:hint="default" w:asciiTheme="majorAscii" w:hAnsiTheme="majorAscii"/>
                <w:sz w:val="20"/>
              </w:rPr>
              <w:t xml:space="preserve">(hh:mm) </w:t>
            </w:r>
            <w:r>
              <w:rPr>
                <w:rFonts w:hint="default" w:asciiTheme="majorAscii" w:hAnsiTheme="majorAscii"/>
                <w:sz w:val="20"/>
                <w:lang w:val="en-IN"/>
              </w:rPr>
              <w:t>38</w:t>
            </w:r>
            <w:r>
              <w:rPr>
                <w:rFonts w:hint="default" w:asciiTheme="majorAscii" w:hAnsiTheme="majorAscii"/>
                <w:sz w:val="20"/>
              </w:rPr>
              <w:t xml:space="preserve">:00 </w:t>
            </w:r>
            <w:r>
              <w:rPr>
                <w:rFonts w:hint="default" w:asciiTheme="majorAscii" w:hAnsiTheme="majorAscii"/>
                <w:sz w:val="20"/>
              </w:rPr>
              <w:br w:type="textWrapping"/>
            </w:r>
          </w:p>
          <w:p>
            <w:pPr>
              <w:ind w:left="1" w:left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b/>
                <w:color w:val="006FC0"/>
                <w:sz w:val="20"/>
              </w:rPr>
              <w:t>Corresponding NOS Code</w:t>
            </w:r>
            <w:r>
              <w:rPr>
                <w:rFonts w:hint="default" w:asciiTheme="majorAscii" w:hAnsiTheme="majorAscii"/>
                <w:b/>
                <w:color w:val="201D1F"/>
                <w:sz w:val="20"/>
              </w:rPr>
              <w:t xml:space="preserve"> </w:t>
            </w:r>
            <w:r>
              <w:rPr>
                <w:rFonts w:hint="default" w:asciiTheme="majorAscii" w:hAnsiTheme="majorAscii"/>
                <w:sz w:val="20"/>
                <w:lang w:val="en-IN"/>
              </w:rPr>
              <w:t>S</w:t>
            </w:r>
            <w:r>
              <w:rPr>
                <w:rFonts w:hint="default" w:asciiTheme="majorAscii" w:hAnsiTheme="majorAscii"/>
                <w:sz w:val="20"/>
              </w:rPr>
              <w:t>S</w:t>
            </w:r>
            <w:r>
              <w:rPr>
                <w:rFonts w:hint="default" w:asciiTheme="majorAscii" w:hAnsiTheme="majorAscii"/>
                <w:sz w:val="20"/>
                <w:lang w:val="en-IN"/>
              </w:rPr>
              <w:t>C</w:t>
            </w:r>
            <w:r>
              <w:rPr>
                <w:rFonts w:hint="default" w:asciiTheme="majorAscii" w:hAnsiTheme="majorAscii"/>
                <w:sz w:val="20"/>
              </w:rPr>
              <w:t xml:space="preserve"> / N</w:t>
            </w:r>
            <w:r>
              <w:rPr>
                <w:rFonts w:hint="default" w:asciiTheme="majorAscii" w:hAnsiTheme="majorAscii"/>
                <w:sz w:val="20"/>
                <w:lang w:val="en-IN"/>
              </w:rPr>
              <w:t>9003</w:t>
            </w:r>
          </w:p>
        </w:tc>
        <w:tc>
          <w:tcPr>
            <w:tcW w:w="6440" w:type="dxa"/>
            <w:vAlign w:val="top"/>
          </w:tcPr>
          <w:p>
            <w:pPr>
              <w:pStyle w:val="21"/>
              <w:numPr>
                <w:ilvl w:val="0"/>
                <w:numId w:val="0"/>
              </w:numPr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  <w:lang w:val="en-IN"/>
              </w:rPr>
              <w:t xml:space="preserve">The learner should be </w:t>
            </w:r>
            <w:r>
              <w:rPr>
                <w:rFonts w:hint="default" w:asciiTheme="majorAscii" w:hAnsiTheme="majorAscii"/>
                <w:sz w:val="20"/>
              </w:rPr>
              <w:t xml:space="preserve">able to:  </w:t>
            </w:r>
          </w:p>
          <w:p>
            <w:pPr>
              <w:pStyle w:val="21"/>
              <w:numPr>
                <w:ilvl w:val="0"/>
                <w:numId w:val="0"/>
              </w:numPr>
              <w:rPr>
                <w:rFonts w:hint="default" w:asciiTheme="majorAscii" w:hAnsiTheme="majorAscii"/>
                <w:sz w:val="20"/>
              </w:rPr>
            </w:pP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Comply with organization’s current health, safety and security policies and procedures  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Report any identified breaches in health, safety, and security policies and procedures to the designated person  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Identify and correct any hazards that can deal with safely, competently and within the limits of authority  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>Report any hazards that one is not competent to deal with to the relevant person in line with organizational procedures and warn other people who may be affected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Follow organization’s emergency procedures promptly, calmly, and efficiently  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Identify and recommend opportunities for improving health, safety, and security to the designated person  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asciiTheme="majorAscii" w:hAnsiTheme="majorAscii"/>
                <w:sz w:val="20"/>
              </w:rPr>
              <w:t>Complete any health and safety records legibly and accurately</w:t>
            </w:r>
          </w:p>
        </w:tc>
        <w:tc>
          <w:tcPr>
            <w:tcW w:w="1840" w:type="dxa"/>
            <w:vAlign w:val="top"/>
          </w:tcPr>
          <w:p>
            <w:pPr>
              <w:pStyle w:val="21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White Board, Markers and Eraser  </w:t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Projector with screen  </w:t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asciiTheme="majorAscii" w:hAnsiTheme="majorAscii"/>
                <w:sz w:val="20"/>
                <w:lang w:val="en-IN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Flip chart with markers  </w:t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Faculty’s PC/Laptop with latest configuration and internet connection  </w:t>
            </w:r>
          </w:p>
          <w:p>
            <w:pPr>
              <w:pStyle w:val="21"/>
              <w:numPr>
                <w:ilvl w:val="0"/>
                <w:numId w:val="10"/>
              </w:numPr>
              <w:tabs>
                <w:tab w:val="clear" w:pos="379"/>
              </w:tabs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</w:rPr>
              <w:t xml:space="preserve">Supporting software / applications for projecting audio, video, recording,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Style w:val="12"/>
                <w:rFonts w:hint="default" w:eastAsia="Helvetica" w:cs="Helvetica" w:asciiTheme="majorAscii" w:hAnsiTheme="maj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</w:pPr>
            <w:r>
              <w:rPr>
                <w:rStyle w:val="12"/>
                <w:rFonts w:hint="default" w:eastAsia="Helvetica" w:cs="Helvetica" w:asciiTheme="majorAscii" w:hAnsiTheme="maj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  <w:t>Entrepreneurship &amp; Soft skills</w:t>
            </w:r>
          </w:p>
          <w:p>
            <w:pPr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Style w:val="12"/>
                <w:rFonts w:hint="default" w:eastAsia="Helvetica" w:cs="Helvetica" w:asciiTheme="majorAscii" w:hAnsiTheme="maj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  <w:t xml:space="preserve">Duration: </w:t>
            </w:r>
            <w:r>
              <w:rPr>
                <w:rFonts w:hint="default" w:asciiTheme="majorAscii" w:hAnsiTheme="majorAscii"/>
                <w:sz w:val="20"/>
                <w:szCs w:val="20"/>
              </w:rPr>
              <w:t>(hh:mm)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 xml:space="preserve">  </w:t>
            </w:r>
            <w:r>
              <w:rPr>
                <w:rStyle w:val="12"/>
                <w:rFonts w:hint="default" w:eastAsia="Helvetica" w:cs="Helvetica" w:asciiTheme="majorAscii" w:hAnsiTheme="majorAsci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en-IN"/>
              </w:rPr>
              <w:t>40:00</w:t>
            </w:r>
          </w:p>
        </w:tc>
        <w:tc>
          <w:tcPr>
            <w:tcW w:w="6440" w:type="dxa"/>
            <w:vAlign w:val="top"/>
          </w:tcPr>
          <w:p>
            <w:pPr>
              <w:pStyle w:val="21"/>
              <w:numPr>
                <w:ilvl w:val="0"/>
                <w:numId w:val="0"/>
              </w:numPr>
              <w:ind w:left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 xml:space="preserve">The learner should be </w:t>
            </w:r>
            <w:r>
              <w:rPr>
                <w:rFonts w:hint="default" w:asciiTheme="majorAscii" w:hAnsiTheme="majorAscii"/>
                <w:sz w:val="20"/>
                <w:szCs w:val="20"/>
              </w:rPr>
              <w:t>able to: 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To know the process of communication and its components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To improve the language skills: speaking skill, writing skill, reading skill as well as listening skill.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Construct basic and intermediate skills in English language.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To enhance phonetic competence, presentation skills, comprehension skills, group discussion skills etc.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To create new path of literature sensibility and learn life skill through it.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To build confidence in for communicating in English and create interest for life-long learning of English language.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The students shall learn the ability to understand the proper idea how to communicate at the industry level.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The students shall learn how to approach with the business tycoons at organizational level.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asciiTheme="majorAscii" w:hAnsiTheme="majorAscii"/>
                <w:sz w:val="20"/>
                <w:szCs w:val="20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The students shall learn how to crack the interview with their communicative approach.</w:t>
            </w:r>
          </w:p>
          <w:p>
            <w:pPr>
              <w:pStyle w:val="21"/>
              <w:numPr>
                <w:ilvl w:val="0"/>
                <w:numId w:val="10"/>
              </w:numPr>
              <w:ind w:left="420" w:lef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asciiTheme="majorAscii" w:hAnsiTheme="majorAscii"/>
                <w:sz w:val="20"/>
                <w:szCs w:val="20"/>
              </w:rPr>
              <w:t>The students are able to give concrete result as far as communication skill is concerned.</w:t>
            </w:r>
          </w:p>
        </w:tc>
        <w:tc>
          <w:tcPr>
            <w:tcW w:w="184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Computer based console with computer, UPS &amp; necessary wiring, etc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36 to 40 Chairs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LCD Screen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Wireless Headphones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AC of 1.50 Ton capacity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Curtains which covers the window pane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before="0" w:beforeAutospacing="1" w:after="0" w:afterAutospacing="1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Helvetica" w:cs="Helvetica" w:asciiTheme="majorAscii" w:hAnsiTheme="majorAscii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</w:rPr>
              <w:t>White board marker and eraser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  <w:tc>
          <w:p>
            <w:pPr>
              <w:spacing w:after="234" w:line="276" w:lineRule="auto"/>
              <w:ind w:left="1" w:firstLine="0"/>
              <w:rPr>
                <w:rFonts w:hint="default" w:eastAsia="Century Gothic" w:cs="Century Gothic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color w:val="006FC0"/>
                <w:sz w:val="20"/>
                <w:szCs w:val="20"/>
                <w:rtl w:val="0"/>
              </w:rPr>
              <w:t xml:space="preserve">Total Duration </w:t>
            </w:r>
            <w:r>
              <w:rPr>
                <w:rFonts w:hint="default" w:eastAsia="Century Gothic" w:cs="Century Gothic" w:asciiTheme="majorAscii" w:hAnsiTheme="majorAscii"/>
                <w:b/>
                <w:color w:val="006FC0"/>
                <w:sz w:val="20"/>
                <w:szCs w:val="20"/>
                <w:rtl w:val="0"/>
              </w:rPr>
              <w:br w:type="textWrapping"/>
            </w:r>
            <w:r>
              <w:rPr>
                <w:rFonts w:hint="default" w:eastAsia="Century Gothic" w:cs="Century Gothic" w:asciiTheme="majorAscii" w:hAnsiTheme="majorAscii"/>
                <w:b/>
                <w:color w:val="006FC0"/>
                <w:sz w:val="20"/>
                <w:szCs w:val="20"/>
                <w:rtl w:val="0"/>
                <w:lang w:val="en-IN"/>
              </w:rPr>
              <w:t>440:00</w:t>
            </w:r>
          </w:p>
          <w:p>
            <w:pPr>
              <w:spacing w:after="247" w:line="244" w:lineRule="auto"/>
              <w:ind w:left="1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b/>
                <w:color w:val="006FC0"/>
                <w:sz w:val="20"/>
                <w:szCs w:val="20"/>
                <w:rtl w:val="0"/>
              </w:rPr>
              <w:t xml:space="preserve">Theory Duration </w:t>
            </w:r>
            <w:r>
              <w:rPr>
                <w:rFonts w:hint="default" w:eastAsia="Century Gothic" w:cs="Century Gothic" w:asciiTheme="majorAscii" w:hAnsiTheme="majorAscii"/>
                <w:b/>
                <w:color w:val="006FC0"/>
                <w:sz w:val="20"/>
                <w:szCs w:val="20"/>
                <w:rtl w:val="0"/>
                <w:lang w:val="en-IN"/>
              </w:rPr>
              <w:t>82</w:t>
            </w:r>
            <w:r>
              <w:rPr>
                <w:rFonts w:hint="default" w:eastAsia="Century Gothic" w:cs="Century Gothic" w:asciiTheme="majorAscii" w:hAnsiTheme="majorAscii"/>
                <w:b/>
                <w:color w:val="006FC0"/>
                <w:sz w:val="20"/>
                <w:szCs w:val="20"/>
                <w:rtl w:val="0"/>
              </w:rPr>
              <w:t xml:space="preserve">:00 </w:t>
            </w:r>
          </w:p>
          <w:p>
            <w:pPr>
              <w:spacing w:after="200" w:line="276" w:lineRule="auto"/>
              <w:ind w:left="1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</w:pPr>
            <w:r>
              <w:rPr>
                <w:rFonts w:hint="default" w:eastAsia="Century Gothic" w:cs="Century Gothic" w:asciiTheme="majorAscii" w:hAnsiTheme="majorAscii"/>
                <w:b/>
                <w:color w:val="006FC0"/>
                <w:sz w:val="20"/>
                <w:szCs w:val="20"/>
                <w:rtl w:val="0"/>
              </w:rPr>
              <w:t xml:space="preserve">Practical Duration </w:t>
            </w:r>
            <w:r>
              <w:rPr>
                <w:rFonts w:hint="default" w:eastAsia="Century Gothic" w:cs="Century Gothic" w:asciiTheme="majorAscii" w:hAnsiTheme="majorAscii"/>
                <w:b/>
                <w:color w:val="006FC0"/>
                <w:sz w:val="20"/>
                <w:szCs w:val="20"/>
                <w:rtl w:val="0"/>
                <w:lang w:val="en-IN"/>
              </w:rPr>
              <w:t>318</w:t>
            </w:r>
            <w:r>
              <w:rPr>
                <w:rFonts w:hint="default" w:eastAsia="Century Gothic" w:cs="Century Gothic" w:asciiTheme="majorAscii" w:hAnsiTheme="majorAscii"/>
                <w:b/>
                <w:color w:val="006FC0"/>
                <w:sz w:val="20"/>
                <w:szCs w:val="20"/>
                <w:rtl w:val="0"/>
              </w:rPr>
              <w:t>:00</w:t>
            </w: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t xml:space="preserve"> </w:t>
            </w:r>
          </w:p>
          <w:p>
            <w:pPr>
              <w:spacing w:after="200" w:line="276" w:lineRule="auto"/>
              <w:ind w:left="1" w:firstLine="0"/>
              <w:rPr>
                <w:rStyle w:val="12"/>
                <w:rFonts w:hint="default" w:eastAsia="Helvetica" w:cs="Helvetica" w:asciiTheme="majorAscii" w:hAnsiTheme="maj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</w:pPr>
            <w:r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  <w:br w:type="textWrapping"/>
            </w:r>
            <w:r>
              <w:rPr>
                <w:rStyle w:val="12"/>
                <w:rFonts w:hint="default" w:eastAsia="Helvetica" w:cs="Helvetica" w:asciiTheme="majorAscii" w:hAnsiTheme="maj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  <w:t>Entrepreneurship &amp; Soft skills</w:t>
            </w:r>
          </w:p>
          <w:p>
            <w:pPr>
              <w:spacing w:after="200" w:line="276" w:lineRule="auto"/>
              <w:ind w:left="1" w:firstLine="0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</w:pPr>
            <w:r>
              <w:rPr>
                <w:rStyle w:val="12"/>
                <w:rFonts w:hint="default" w:eastAsia="Helvetica" w:cs="Helvetica" w:asciiTheme="majorAscii" w:hAnsiTheme="majorAscii"/>
                <w:b/>
                <w:bCs/>
                <w:i w:val="0"/>
                <w:iCs w:val="0"/>
                <w:caps w:val="0"/>
                <w:color w:val="0070C0"/>
                <w:spacing w:val="0"/>
                <w:sz w:val="20"/>
                <w:szCs w:val="20"/>
                <w:shd w:val="clear" w:fill="FFFFFF"/>
                <w:lang w:val="en-IN"/>
              </w:rPr>
              <w:t xml:space="preserve">Duration: </w:t>
            </w:r>
            <w:r>
              <w:rPr>
                <w:rFonts w:hint="default" w:asciiTheme="majorAscii" w:hAnsiTheme="majorAscii"/>
                <w:sz w:val="20"/>
                <w:szCs w:val="20"/>
              </w:rPr>
              <w:t>(hh:mm)</w:t>
            </w:r>
            <w:r>
              <w:rPr>
                <w:rFonts w:hint="default" w:asciiTheme="majorAscii" w:hAnsiTheme="majorAscii"/>
                <w:sz w:val="20"/>
                <w:szCs w:val="20"/>
                <w:lang w:val="en-IN"/>
              </w:rPr>
              <w:t xml:space="preserve">  </w:t>
            </w:r>
            <w:r>
              <w:rPr>
                <w:rStyle w:val="12"/>
                <w:rFonts w:hint="default" w:eastAsia="Helvetica" w:cs="Helvetica" w:asciiTheme="majorAscii" w:hAnsiTheme="majorAscii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en-IN"/>
              </w:rPr>
              <w:t>40:00</w:t>
            </w:r>
          </w:p>
          <w:p>
            <w:pPr>
              <w:spacing w:after="200" w:line="276" w:lineRule="auto"/>
              <w:rPr>
                <w:rFonts w:hint="default" w:eastAsia="Century Gothic" w:cs="Century Gothic" w:asciiTheme="majorAscii" w:hAnsiTheme="majorAscii"/>
                <w:b/>
                <w:sz w:val="20"/>
                <w:szCs w:val="20"/>
                <w:rtl w:val="0"/>
              </w:rPr>
            </w:pPr>
          </w:p>
        </w:tc>
        <w:tc>
          <w:p>
            <w:pPr>
              <w:numPr>
                <w:ilvl w:val="0"/>
                <w:numId w:val="0"/>
              </w:numPr>
              <w:spacing w:after="200" w:line="276" w:lineRule="auto"/>
              <w:ind w:leftChars="0"/>
              <w:rPr>
                <w:rFonts w:hint="default" w:eastAsia="Century Gothic" w:cs="Century Gothic" w:asciiTheme="majorAscii" w:hAnsiTheme="majorAscii"/>
                <w:sz w:val="20"/>
                <w:szCs w:val="20"/>
                <w:lang w:val="en-IN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lang w:val="en-IN"/>
              </w:rPr>
              <w:t>COMMEN REQUIREMENTS: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Comfortable seats with adequate lighting, controlled temperature and acoustics for training and learning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White Board, Markers and Eraser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Projector with screen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Flip chart with markers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Faculty’s PC/Laptop with latest configuration and internet connection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Supporting software / applications for projecting audio, video, recording,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Presentation Tools to support learning activities: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Intranet •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Email •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IMs •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Learning management system e.g. Moodle, Blackboard to enable blended learning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Microphone / voice system for lecture and class activities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Handy Camera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Stationery kit – Staples, Glue, Chart Paper, Sketch Pens, Paint Box, Scale, A4 Sheets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For IT Lab sessions: Computer Lab with 1:1 PC: trainee ratio and having internet connection, MS Office / Open office, Browser, Outlook / Any other Email Client and chat tools, CRM and ticketing tool(s) such as 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  <w:lang w:val="en-IN"/>
              </w:rPr>
              <w:t>Fresh-desk</w:t>
            </w: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 CRM Domestic Non-Voice 3 Sr. No. Module Key Learning Outcomes Equipment Required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 xml:space="preserve">Assessment and Test Tools for day to day online Tests and Assessments </w:t>
            </w:r>
          </w:p>
          <w:p>
            <w:pPr>
              <w:numPr>
                <w:ilvl w:val="0"/>
                <w:numId w:val="10"/>
              </w:numPr>
              <w:spacing w:after="200" w:line="276" w:lineRule="auto"/>
              <w:ind w:left="420" w:leftChars="0" w:hanging="420" w:firstLineChars="0"/>
              <w:rPr>
                <w:rFonts w:hint="default" w:eastAsia="Century Gothic" w:cs="Century Gothic" w:asciiTheme="majorAscii" w:hAnsiTheme="majorAscii"/>
              </w:rPr>
            </w:pPr>
            <w:r>
              <w:rPr>
                <w:rFonts w:hint="default" w:eastAsia="Century Gothic" w:cs="Century Gothic" w:asciiTheme="majorAscii" w:hAnsiTheme="majorAscii"/>
                <w:sz w:val="20"/>
                <w:szCs w:val="20"/>
              </w:rPr>
              <w:t>For team discussions: Adequate seating arrangement in full / half circle format for one or more teams as per planned team composition. Reading Resources: Access to relevant sample documents and learning forums to enable self-study before and after each training session.</w:t>
            </w:r>
          </w:p>
        </w:tc>
        <w:tc>
          <w:p>
            <w:pPr>
              <w:spacing w:after="200" w:line="276" w:lineRule="auto"/>
              <w:ind w:left="1" w:firstLine="0"/>
              <w:rPr>
                <w:rFonts w:hint="default" w:eastAsia="Century Gothic" w:cs="Century Gothic" w:asciiTheme="majorAscii" w:hAnsiTheme="majorAscii"/>
                <w:sz w:val="20"/>
                <w:szCs w:val="20"/>
              </w:rPr>
            </w:pPr>
          </w:p>
        </w:tc>
      </w:tr>
    </w:tbl>
    <w:p>
      <w:pPr>
        <w:spacing w:line="276" w:lineRule="auto"/>
        <w:ind w:left="0" w:firstLine="0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</w:rPr>
      </w:pPr>
    </w:p>
    <w:p>
      <w:pPr>
        <w:spacing w:line="276" w:lineRule="auto"/>
        <w:rPr>
          <w:rFonts w:hint="default" w:eastAsia="Century Gothic" w:cs="Century Gothic" w:asciiTheme="majorAscii" w:hAnsiTheme="majorAscii"/>
        </w:rPr>
      </w:pPr>
      <w:bookmarkStart w:id="0" w:name="_GoBack"/>
      <w:bookmarkEnd w:id="0"/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numPr>
          <w:ilvl w:val="0"/>
          <w:numId w:val="3"/>
        </w:numPr>
        <w:spacing w:line="276" w:lineRule="auto"/>
        <w:ind w:left="360"/>
        <w:rPr>
          <w:rFonts w:hint="default" w:eastAsia="Century Gothic" w:cs="Century Gothic" w:asciiTheme="majorAscii" w:hAnsiTheme="majorAscii"/>
        </w:rPr>
      </w:pPr>
      <w:r>
        <w:rPr>
          <w:rFonts w:hint="default" w:eastAsia="Century Gothic" w:cs="Century Gothic" w:asciiTheme="majorAscii" w:hAnsiTheme="majorAscii"/>
          <w:b/>
          <w:rtl w:val="0"/>
        </w:rPr>
        <w:t xml:space="preserve">ASSESSMENT / EXAMINATION </w:t>
      </w:r>
    </w:p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tbl>
      <w:tblPr>
        <w:tblStyle w:val="20"/>
        <w:tblW w:w="10275" w:type="dxa"/>
        <w:tblInd w:w="-107" w:type="dxa"/>
        <w:tblLayout w:type="fixed"/>
        <w:tblCellMar>
          <w:top w:w="3" w:type="dxa"/>
          <w:left w:w="0" w:type="dxa"/>
          <w:bottom w:w="5" w:type="dxa"/>
          <w:right w:w="68" w:type="dxa"/>
        </w:tblCellMar>
      </w:tblPr>
      <w:tblGrid>
        <w:gridCol w:w="2385"/>
        <w:gridCol w:w="795"/>
        <w:gridCol w:w="3930"/>
        <w:gridCol w:w="780"/>
        <w:gridCol w:w="615"/>
        <w:gridCol w:w="840"/>
        <w:gridCol w:w="930"/>
      </w:tblGrid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197" w:hRule="atLeast"/>
        </w:trPr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spacing w:after="0" w:line="240" w:lineRule="auto"/>
              <w:ind w:left="107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 xml:space="preserve">ASSESSMENT OUTCOMES </w:t>
            </w:r>
          </w:p>
        </w:tc>
        <w:tc>
          <w:tcPr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>Assessment Criteria For Outcome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 xml:space="preserve">Total marks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bottom"/>
          </w:tcPr>
          <w:p>
            <w:pPr>
              <w:spacing w:after="0" w:line="240" w:lineRule="auto"/>
              <w:ind w:left="107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 xml:space="preserve">Marks Allocation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232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  <w:vAlign w:val="center"/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133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 xml:space="preserve">Out of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 xml:space="preserve">Theory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DADB"/>
          </w:tcPr>
          <w:p>
            <w:pPr>
              <w:spacing w:after="0" w:line="240" w:lineRule="auto"/>
              <w:ind w:left="69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 xml:space="preserve">Skills Practical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6" w:hRule="atLeast"/>
        </w:trPr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right="27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>1.SSC/N3021 (Deal remotely with customer queries - Domestic)</w:t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PC1. greet customers and verify their details, following your organization’s procedures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</w:rPr>
            </w:pPr>
            <w:r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  <w:t>120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PC2. read carefully, summarize, and obtain customer confirmation of, your understanding of queries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90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right="26" w:hanging="576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PC3. express your concern for any difficulties caused and your commitment to resolving queries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58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PC4. record and categorize queries accurately using your organization’s query management tool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PC5. refer queries outside your area of competence or authority promptly to appropriate people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PC6. access your organization’s knowledge base for solutions to queries, where available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2.5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PC7. resolve queries within your area of competence or authority in line with organizational guidelines and service level agreements (SLAs)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60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PC8. obtain advice and guidance from appropriate people, where necessary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233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PC9. obtain confirmation from customers that queries have been resolved to their satisfaction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10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PC10. record the resolution of queries accurately using your organization’s query management tool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35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84" w:hanging="576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PC11. comply with relevant standards, policies, procedures and guidelines when dealing remotely with customer queries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7.5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7.5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47" w:hRule="atLeast"/>
        </w:trPr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rtl w:val="0"/>
              </w:rPr>
              <w:t xml:space="preserve">NOS </w:t>
            </w: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rtl w:val="0"/>
              </w:rPr>
              <w:t xml:space="preserve">Total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2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 xml:space="preserve">120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>20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>100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3" w:hRule="atLeast"/>
        </w:trPr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7" w:right="27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>2.SSC/N9001 (Manage your work to meet requirements)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PC1.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establish and agree your work requirements with appropriate people</w:t>
            </w:r>
          </w:p>
        </w:tc>
        <w:tc>
          <w:tcPr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bCs/>
              </w:rPr>
            </w:pPr>
            <w:r>
              <w:rPr>
                <w:rFonts w:hint="default" w:eastAsia="Calibri" w:cs="Calibri" w:asciiTheme="majorAscii" w:hAnsiTheme="majorAscii"/>
                <w:b/>
                <w:bCs/>
                <w:sz w:val="20"/>
                <w:szCs w:val="20"/>
                <w:rtl w:val="0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10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45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PC2.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keep your immediate work area clean and tidy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PC3.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utilize your time effectively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05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PC4.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use resources correctly and efficiently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3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46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PC5.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treat confidential information correctly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10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PC6.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35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work in line with your organization’s policies and procedures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435" w:hRule="atLeast"/>
        </w:trPr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PC7.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7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work within the limits of your job role</w:t>
            </w:r>
          </w:p>
        </w:tc>
        <w:tc>
          <w:tcPr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92" w:hRule="atLeast"/>
        </w:trPr>
        <w:tc>
          <w:tcPr>
            <w:tcW w:w="23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PC8.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obtain guidance from appropriate people, where necessary</w:t>
            </w:r>
          </w:p>
        </w:tc>
        <w:tc>
          <w:tcPr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00" w:hRule="atLeast"/>
        </w:trPr>
        <w:tc>
          <w:tcPr>
            <w:tcW w:w="238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PC9.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ensure your work meets the agreed requirements</w:t>
            </w:r>
          </w:p>
        </w:tc>
        <w:tc>
          <w:tcPr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75" w:hRule="atLeast"/>
        </w:trPr>
        <w:tc>
          <w:tcPr>
            <w:tcW w:w="23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rtl w:val="0"/>
              </w:rPr>
              <w:t xml:space="preserve">NOS </w:t>
            </w: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rtl w:val="0"/>
              </w:rPr>
              <w:t xml:space="preserve">Total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2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 xml:space="preserve">40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>12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6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>28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50" w:hRule="atLeast"/>
        </w:trPr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  <w:b/>
              </w:rPr>
            </w:pPr>
            <w:r>
              <w:rPr>
                <w:rFonts w:hint="default" w:eastAsia="Calibri" w:cs="Calibri" w:asciiTheme="majorAscii" w:hAnsiTheme="majorAscii"/>
                <w:b/>
                <w:rtl w:val="0"/>
              </w:rPr>
              <w:t>3.SSC/N9003 (Maintain a healthy, safe and secure working environment)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PC1.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comply with your organization’s current health, safety and security policies and procedures</w:t>
            </w:r>
          </w:p>
        </w:tc>
        <w:tc>
          <w:tcPr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</w:pPr>
          </w:p>
          <w:p>
            <w:pPr>
              <w:spacing w:after="0" w:line="240" w:lineRule="auto"/>
              <w:ind w:left="108" w:firstLine="0"/>
              <w:jc w:val="center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</w:pPr>
            <w:r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lang w:val="en-IN"/>
              </w:rPr>
              <w:t>40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26" w:hRule="atLeast"/>
        </w:trPr>
        <w:tc>
          <w:tcPr>
            <w:tcW w:w="23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PC2.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report any identified breaches in health, safety, and security policies and procedures to the designated person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718" w:hRule="atLeast"/>
        </w:trPr>
        <w:tc>
          <w:tcPr>
            <w:tcW w:w="23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PC3.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right="21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identify and correct any hazards that you can deal with safely, competently and within the limits of your authority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46" w:hRule="atLeast"/>
        </w:trPr>
        <w:tc>
          <w:tcPr>
            <w:tcW w:w="23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PC4.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report any hazards that you are not competent to deal with to the relevant person in line with organizational procedures and warn other people who may be affected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53" w:hRule="atLeast"/>
        </w:trPr>
        <w:tc>
          <w:tcPr>
            <w:tcW w:w="23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PC5.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follow your organization’s emergency procedures promptly, calmly, and efficiently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5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5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47" w:hRule="atLeast"/>
        </w:trPr>
        <w:tc>
          <w:tcPr>
            <w:tcW w:w="23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PC6.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identify and recommend opportunities for improving health, safety, and security to the designated person</w:t>
            </w:r>
          </w:p>
        </w:tc>
        <w:tc>
          <w:tcPr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2.5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585" w:hRule="atLeast"/>
        </w:trPr>
        <w:tc>
          <w:tcPr>
            <w:tcW w:w="23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color w:val="1F1F1F"/>
                <w:sz w:val="20"/>
                <w:szCs w:val="20"/>
                <w:rtl w:val="0"/>
              </w:rPr>
              <w:t>PC7.</w:t>
            </w:r>
            <w:r>
              <w:rPr>
                <w:rFonts w:hint="default" w:asciiTheme="majorAscii" w:hAnsiTheme="majorAscii"/>
                <w:color w:val="1F1F1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complete any health and safety records legibly and accurately</w:t>
            </w:r>
          </w:p>
        </w:tc>
        <w:tc>
          <w:tcPr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3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2.5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4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>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6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sz w:val="20"/>
                <w:szCs w:val="20"/>
                <w:rtl w:val="0"/>
              </w:rPr>
              <w:t xml:space="preserve">2.5 </w:t>
            </w:r>
          </w:p>
        </w:tc>
      </w:tr>
      <w:tr>
        <w:tblPrEx>
          <w:tblCellMar>
            <w:top w:w="3" w:type="dxa"/>
            <w:left w:w="0" w:type="dxa"/>
            <w:bottom w:w="5" w:type="dxa"/>
            <w:right w:w="68" w:type="dxa"/>
          </w:tblCellMar>
        </w:tblPrEx>
        <w:trPr>
          <w:trHeight w:val="353" w:hRule="atLeast"/>
        </w:trPr>
        <w:tc>
          <w:tcPr>
            <w:tcW w:w="23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before="0" w:after="0" w:line="240" w:lineRule="auto"/>
              <w:ind w:left="0" w:firstLine="0"/>
              <w:rPr>
                <w:rFonts w:hint="default" w:eastAsia="Calibri" w:cs="Calibri" w:asciiTheme="majorAscii" w:hAnsiTheme="majorAscii"/>
                <w:b/>
                <w:sz w:val="20"/>
                <w:szCs w:val="20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pacing w:after="0" w:line="240" w:lineRule="auto"/>
              <w:ind w:left="684" w:hanging="576"/>
              <w:rPr>
                <w:rFonts w:hint="default" w:eastAsia="Calibri" w:cs="Calibri" w:asciiTheme="majorAscii" w:hAnsiTheme="majorAscii"/>
              </w:rPr>
            </w:pP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eastAsia="Calibri" w:cs="Calibri" w:asciiTheme="majorAscii" w:hAnsiTheme="majorAscii"/>
                <w:sz w:val="20"/>
                <w:szCs w:val="20"/>
              </w:rPr>
            </w:pPr>
          </w:p>
        </w:tc>
        <w:tc>
          <w:tcPr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rtl w:val="0"/>
              </w:rPr>
              <w:t xml:space="preserve">NOS </w:t>
            </w:r>
          </w:p>
          <w:p>
            <w:pPr>
              <w:spacing w:after="0" w:line="240" w:lineRule="auto"/>
              <w:ind w:left="108" w:firstLine="0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color w:val="1F1F1F"/>
                <w:sz w:val="20"/>
                <w:szCs w:val="20"/>
                <w:rtl w:val="0"/>
              </w:rPr>
              <w:t xml:space="preserve">Total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7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 xml:space="preserve">40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48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>10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51" w:firstLine="0"/>
              <w:jc w:val="center"/>
              <w:rPr>
                <w:rFonts w:hint="default" w:eastAsia="Calibri" w:cs="Calibri" w:asciiTheme="majorAscii" w:hAnsiTheme="majorAscii"/>
              </w:rPr>
            </w:pPr>
            <w:r>
              <w:rPr>
                <w:rFonts w:hint="default" w:eastAsia="Calibri" w:cs="Calibri" w:asciiTheme="majorAscii" w:hAnsiTheme="majorAscii"/>
                <w:b/>
                <w:sz w:val="20"/>
                <w:szCs w:val="20"/>
                <w:rtl w:val="0"/>
              </w:rPr>
              <w:t>30</w:t>
            </w:r>
          </w:p>
        </w:tc>
      </w:tr>
    </w:tbl>
    <w:p>
      <w:pPr>
        <w:spacing w:line="276" w:lineRule="auto"/>
        <w:ind w:left="360" w:firstLine="0"/>
        <w:rPr>
          <w:rFonts w:hint="default" w:eastAsia="Century Gothic" w:cs="Century Gothic" w:asciiTheme="majorAscii" w:hAnsiTheme="majorAscii"/>
        </w:rPr>
      </w:pPr>
    </w:p>
    <w:p>
      <w:pPr>
        <w:rPr>
          <w:rFonts w:hint="default" w:asciiTheme="majorAscii" w:hAnsiTheme="majorAscii"/>
        </w:rPr>
      </w:pPr>
    </w:p>
    <w:p>
      <w:pPr>
        <w:rPr>
          <w:rFonts w:hint="default" w:asciiTheme="majorAscii" w:hAnsiTheme="majorAscii"/>
        </w:rPr>
      </w:pPr>
    </w:p>
    <w:sectPr>
      <w:footerReference r:id="rId5" w:type="default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sz w:val="20"/>
        <w:szCs w:val="20"/>
      </w:rPr>
    </w:pPr>
    <w:r>
      <w:rPr>
        <w:rFonts w:ascii="Century Gothic" w:hAnsi="Century Gothic" w:cs="Times New Roman"/>
        <w:b/>
        <w:sz w:val="20"/>
        <w:szCs w:val="20"/>
      </w:rPr>
      <w:t xml:space="preserve">BIHAR SKILL DEVELOPMENT MISSION – </w:t>
    </w:r>
    <w:r>
      <w:rPr>
        <w:rFonts w:hint="default" w:ascii="Century Gothic" w:hAnsi="Century Gothic" w:cs="Tahoma"/>
        <w:b/>
        <w:color w:val="000000" w:themeColor="text1"/>
        <w:sz w:val="20"/>
        <w:szCs w:val="20"/>
        <w:lang w:val="en-IN"/>
        <w14:textFill>
          <w14:solidFill>
            <w14:schemeClr w14:val="tx1"/>
          </w14:solidFill>
        </w14:textFill>
      </w:rPr>
      <w:t>Broadcast Engineering Consultants India Limited (BECIL)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A4B87"/>
    <w:multiLevelType w:val="multilevel"/>
    <w:tmpl w:val="813A4B87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8461FADE"/>
    <w:multiLevelType w:val="multilevel"/>
    <w:tmpl w:val="8461FAD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8FA57D83"/>
    <w:multiLevelType w:val="singleLevel"/>
    <w:tmpl w:val="8FA57D83"/>
    <w:lvl w:ilvl="0" w:tentative="0">
      <w:start w:val="1"/>
      <w:numFmt w:val="bullet"/>
      <w:lvlText w:val=""/>
      <w:lvlJc w:val="left"/>
      <w:pPr>
        <w:tabs>
          <w:tab w:val="left" w:pos="379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3">
    <w:nsid w:val="DD3A6A10"/>
    <w:multiLevelType w:val="singleLevel"/>
    <w:tmpl w:val="DD3A6A10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  <w:sz w:val="13"/>
      </w:rPr>
    </w:lvl>
  </w:abstractNum>
  <w:abstractNum w:abstractNumId="4">
    <w:nsid w:val="14F42E69"/>
    <w:multiLevelType w:val="singleLevel"/>
    <w:tmpl w:val="14F42E6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  <w:sz w:val="13"/>
      </w:rPr>
    </w:lvl>
  </w:abstractNum>
  <w:abstractNum w:abstractNumId="5">
    <w:nsid w:val="243FCF68"/>
    <w:multiLevelType w:val="multilevel"/>
    <w:tmpl w:val="243FCF68"/>
    <w:lvl w:ilvl="0" w:tentative="0">
      <w:start w:val="1"/>
      <w:numFmt w:val="bullet"/>
      <w:lvlText w:val="●"/>
      <w:lvlJc w:val="left"/>
      <w:pPr>
        <w:ind w:left="396" w:hanging="289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•"/>
      <w:lvlJc w:val="left"/>
      <w:pPr>
        <w:ind w:left="723" w:hanging="289"/>
      </w:pPr>
    </w:lvl>
    <w:lvl w:ilvl="2" w:tentative="0">
      <w:start w:val="1"/>
      <w:numFmt w:val="bullet"/>
      <w:lvlText w:val="•"/>
      <w:lvlJc w:val="left"/>
      <w:pPr>
        <w:ind w:left="1046" w:hanging="289"/>
      </w:pPr>
    </w:lvl>
    <w:lvl w:ilvl="3" w:tentative="0">
      <w:start w:val="1"/>
      <w:numFmt w:val="bullet"/>
      <w:lvlText w:val="•"/>
      <w:lvlJc w:val="left"/>
      <w:pPr>
        <w:ind w:left="1369" w:hanging="289"/>
      </w:pPr>
    </w:lvl>
    <w:lvl w:ilvl="4" w:tentative="0">
      <w:start w:val="1"/>
      <w:numFmt w:val="bullet"/>
      <w:lvlText w:val="•"/>
      <w:lvlJc w:val="left"/>
      <w:pPr>
        <w:ind w:left="1692" w:hanging="289"/>
      </w:pPr>
    </w:lvl>
    <w:lvl w:ilvl="5" w:tentative="0">
      <w:start w:val="1"/>
      <w:numFmt w:val="bullet"/>
      <w:lvlText w:val="•"/>
      <w:lvlJc w:val="left"/>
      <w:pPr>
        <w:ind w:left="2015" w:hanging="289"/>
      </w:pPr>
    </w:lvl>
    <w:lvl w:ilvl="6" w:tentative="0">
      <w:start w:val="1"/>
      <w:numFmt w:val="bullet"/>
      <w:lvlText w:val="•"/>
      <w:lvlJc w:val="left"/>
      <w:pPr>
        <w:ind w:left="2338" w:hanging="289"/>
      </w:pPr>
    </w:lvl>
    <w:lvl w:ilvl="7" w:tentative="0">
      <w:start w:val="1"/>
      <w:numFmt w:val="bullet"/>
      <w:lvlText w:val="•"/>
      <w:lvlJc w:val="left"/>
      <w:pPr>
        <w:ind w:left="2661" w:hanging="289"/>
      </w:pPr>
    </w:lvl>
    <w:lvl w:ilvl="8" w:tentative="0">
      <w:start w:val="1"/>
      <w:numFmt w:val="bullet"/>
      <w:lvlText w:val="•"/>
      <w:lvlJc w:val="left"/>
      <w:pPr>
        <w:ind w:left="2984" w:hanging="289"/>
      </w:pPr>
    </w:lvl>
  </w:abstractNum>
  <w:abstractNum w:abstractNumId="6">
    <w:nsid w:val="39A0D9AC"/>
    <w:multiLevelType w:val="multilevel"/>
    <w:tmpl w:val="39A0D9AC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nsid w:val="47F542C7"/>
    <w:multiLevelType w:val="multilevel"/>
    <w:tmpl w:val="47F542C7"/>
    <w:lvl w:ilvl="0" w:tentative="0">
      <w:start w:val="1"/>
      <w:numFmt w:val="bullet"/>
      <w:lvlText w:val="•"/>
      <w:lvlJc w:val="left"/>
      <w:pPr>
        <w:ind w:left="2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>
    <w:nsid w:val="58765686"/>
    <w:multiLevelType w:val="multilevel"/>
    <w:tmpl w:val="58765686"/>
    <w:lvl w:ilvl="0" w:tentative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entative="0">
      <w:start w:val="1"/>
      <w:numFmt w:val="decimal"/>
      <w:lvlText w:val="%1.%2"/>
      <w:lvlJc w:val="left"/>
      <w:pPr>
        <w:ind w:left="720" w:hanging="720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1080" w:hanging="1080"/>
      </w:pPr>
    </w:lvl>
    <w:lvl w:ilvl="4" w:tentative="0">
      <w:start w:val="1"/>
      <w:numFmt w:val="decimal"/>
      <w:lvlText w:val="%1.%2.%3.%4.%5"/>
      <w:lvlJc w:val="left"/>
      <w:pPr>
        <w:ind w:left="1440" w:hanging="1440"/>
      </w:pPr>
    </w:lvl>
    <w:lvl w:ilvl="5" w:tentative="0">
      <w:start w:val="1"/>
      <w:numFmt w:val="decimal"/>
      <w:lvlText w:val="%1.%2.%3.%4.%5.%6"/>
      <w:lvlJc w:val="left"/>
      <w:pPr>
        <w:ind w:left="1440" w:hanging="1440"/>
      </w:pPr>
    </w:lvl>
    <w:lvl w:ilvl="6" w:tentative="0">
      <w:start w:val="1"/>
      <w:numFmt w:val="decimal"/>
      <w:lvlText w:val="%1.%2.%3.%4.%5.%6.%7"/>
      <w:lvlJc w:val="left"/>
      <w:pPr>
        <w:ind w:left="1800" w:hanging="1800"/>
      </w:pPr>
    </w:lvl>
    <w:lvl w:ilvl="7" w:tentative="0">
      <w:start w:val="1"/>
      <w:numFmt w:val="decimal"/>
      <w:lvlText w:val="%1.%2.%3.%4.%5.%6.%7.%8"/>
      <w:lvlJc w:val="left"/>
      <w:pPr>
        <w:ind w:left="2160" w:hanging="2160"/>
      </w:pPr>
    </w:lvl>
    <w:lvl w:ilvl="8" w:tentative="0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9">
    <w:nsid w:val="7DEC2089"/>
    <w:multiLevelType w:val="multilevel"/>
    <w:tmpl w:val="7DEC2089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013A4A1D"/>
    <w:rsid w:val="01487456"/>
    <w:rsid w:val="0154116E"/>
    <w:rsid w:val="04A67C2D"/>
    <w:rsid w:val="07B34B98"/>
    <w:rsid w:val="08236624"/>
    <w:rsid w:val="0A843C85"/>
    <w:rsid w:val="0D40571A"/>
    <w:rsid w:val="1413696A"/>
    <w:rsid w:val="17163F80"/>
    <w:rsid w:val="1CED2C7A"/>
    <w:rsid w:val="24330537"/>
    <w:rsid w:val="2B9427BC"/>
    <w:rsid w:val="34AE754E"/>
    <w:rsid w:val="3804220F"/>
    <w:rsid w:val="41E47FF3"/>
    <w:rsid w:val="46FE355E"/>
    <w:rsid w:val="4DD43825"/>
    <w:rsid w:val="54C72538"/>
    <w:rsid w:val="5E456AB7"/>
    <w:rsid w:val="5F861791"/>
    <w:rsid w:val="75364B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2">
    <w:name w:val="Strong"/>
    <w:basedOn w:val="8"/>
    <w:qFormat/>
    <w:uiPriority w:val="22"/>
    <w:rPr>
      <w:b/>
      <w:bCs/>
    </w:rPr>
  </w:style>
  <w:style w:type="paragraph" w:styleId="13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5">
    <w:name w:val="Table Normal1"/>
    <w:qFormat/>
    <w:uiPriority w:val="0"/>
  </w:style>
  <w:style w:type="table" w:customStyle="1" w:styleId="16">
    <w:name w:val="_Style 10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_Style 11"/>
    <w:basedOn w:val="15"/>
    <w:qFormat/>
    <w:uiPriority w:val="0"/>
    <w:tblPr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18">
    <w:name w:val="_Style 12"/>
    <w:basedOn w:val="15"/>
    <w:qFormat/>
    <w:uiPriority w:val="0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_Style 13"/>
    <w:basedOn w:val="15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14"/>
    <w:basedOn w:val="15"/>
    <w:qFormat/>
    <w:uiPriority w:val="0"/>
    <w:pPr>
      <w:spacing w:after="0" w:line="240" w:lineRule="auto"/>
    </w:pPr>
    <w:tblPr>
      <w:tblCellMar>
        <w:top w:w="3" w:type="dxa"/>
        <w:left w:w="0" w:type="dxa"/>
        <w:bottom w:w="5" w:type="dxa"/>
        <w:right w:w="68" w:type="dxa"/>
      </w:tblCellMar>
    </w:tblPr>
  </w:style>
  <w:style w:type="paragraph" w:styleId="21">
    <w:name w:val="List Paragraph"/>
    <w:basedOn w:val="1"/>
    <w:qFormat/>
    <w:uiPriority w:val="1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2021-02-04T04:42:00Z</dcterms:created>
  <dc:creator>91813</dc:creator>
  <cp:lastModifiedBy>HIM</cp:lastModifiedBy>
  <dcterms:modified xsi:type="dcterms:W3CDTF">2021-02-04T12:25:20Z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